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09A6" w14:textId="77777777" w:rsidR="00A05B08" w:rsidRDefault="00A05B08" w:rsidP="00A05B08">
      <w:pPr>
        <w:jc w:val="center"/>
        <w:rPr>
          <w:rFonts w:asciiTheme="minorHAnsi" w:eastAsiaTheme="minorHAnsi" w:hAnsiTheme="minorHAnsi" w:cstheme="minorBidi"/>
          <w:b/>
          <w:bCs/>
          <w:color w:val="ED7D31" w:themeColor="accent2"/>
          <w:sz w:val="40"/>
          <w:szCs w:val="40"/>
          <w:lang w:val="es-ES" w:eastAsia="es-ES"/>
        </w:rPr>
      </w:pPr>
      <w:r>
        <w:rPr>
          <w:rFonts w:asciiTheme="minorHAnsi" w:eastAsiaTheme="minorHAnsi" w:hAnsiTheme="minorHAnsi" w:cstheme="minorBidi"/>
          <w:b/>
          <w:bCs/>
          <w:color w:val="ED7D31" w:themeColor="accent2"/>
          <w:sz w:val="40"/>
          <w:szCs w:val="40"/>
          <w:lang w:val="es-ES" w:eastAsia="es-ES"/>
        </w:rPr>
        <w:t>¿Inteligencia Artificial sustituirá a humanos en experiencia al cliente?</w:t>
      </w:r>
    </w:p>
    <w:p w14:paraId="14F70D29" w14:textId="77777777" w:rsidR="00F947E1" w:rsidRPr="00DD24C5" w:rsidRDefault="00F947E1" w:rsidP="00251216">
      <w:pPr>
        <w:rPr>
          <w:rFonts w:asciiTheme="minorHAnsi" w:eastAsiaTheme="minorHAnsi" w:hAnsiTheme="minorHAnsi" w:cstheme="minorBidi"/>
          <w:i/>
          <w:lang w:val="es-ES" w:eastAsia="es-ES"/>
        </w:rPr>
      </w:pPr>
    </w:p>
    <w:p w14:paraId="64C087ED" w14:textId="77777777" w:rsidR="00973A67" w:rsidRDefault="00973A67" w:rsidP="00EB6996">
      <w:pPr>
        <w:pStyle w:val="Prrafodelista"/>
        <w:numPr>
          <w:ilvl w:val="0"/>
          <w:numId w:val="2"/>
        </w:numPr>
        <w:jc w:val="both"/>
        <w:rPr>
          <w:rFonts w:asciiTheme="minorHAnsi" w:eastAsiaTheme="minorHAnsi" w:hAnsiTheme="minorHAnsi" w:cstheme="minorBidi"/>
          <w:i/>
          <w:lang w:val="es-ES" w:eastAsia="es-ES"/>
        </w:rPr>
      </w:pPr>
      <w:r>
        <w:rPr>
          <w:rFonts w:asciiTheme="minorHAnsi" w:eastAsiaTheme="minorHAnsi" w:hAnsiTheme="minorHAnsi" w:cstheme="minorBidi"/>
          <w:i/>
          <w:lang w:val="es-ES" w:eastAsia="es-ES"/>
        </w:rPr>
        <w:t>Combinar las habilidades de agentes humanos y herramientas IA pueden resultar en tiempos de atención al cliente 70% menores.</w:t>
      </w:r>
    </w:p>
    <w:p w14:paraId="492B8B7A" w14:textId="77777777" w:rsidR="006B56D2" w:rsidRPr="00625302" w:rsidRDefault="0065190A" w:rsidP="00625302">
      <w:pPr>
        <w:pStyle w:val="Prrafodelista"/>
        <w:numPr>
          <w:ilvl w:val="0"/>
          <w:numId w:val="2"/>
        </w:numPr>
        <w:jc w:val="both"/>
        <w:rPr>
          <w:rFonts w:asciiTheme="minorHAnsi" w:eastAsiaTheme="minorHAnsi" w:hAnsiTheme="minorHAnsi" w:cstheme="minorBidi"/>
          <w:i/>
          <w:lang w:val="es-ES" w:eastAsia="es-ES"/>
        </w:rPr>
      </w:pPr>
      <w:r>
        <w:rPr>
          <w:rFonts w:asciiTheme="minorHAnsi" w:eastAsiaTheme="minorHAnsi" w:hAnsiTheme="minorHAnsi" w:cstheme="minorBidi"/>
          <w:i/>
          <w:lang w:val="es-ES" w:eastAsia="es-ES"/>
        </w:rPr>
        <w:t>S</w:t>
      </w:r>
      <w:r w:rsidR="00046868">
        <w:rPr>
          <w:rFonts w:asciiTheme="minorHAnsi" w:eastAsiaTheme="minorHAnsi" w:hAnsiTheme="minorHAnsi" w:cstheme="minorBidi"/>
          <w:i/>
          <w:lang w:val="es-ES" w:eastAsia="es-ES"/>
        </w:rPr>
        <w:t xml:space="preserve">oluciones </w:t>
      </w:r>
      <w:r>
        <w:rPr>
          <w:rFonts w:asciiTheme="minorHAnsi" w:eastAsiaTheme="minorHAnsi" w:hAnsiTheme="minorHAnsi" w:cstheme="minorBidi"/>
          <w:i/>
          <w:lang w:val="es-ES" w:eastAsia="es-ES"/>
        </w:rPr>
        <w:t xml:space="preserve">basadas en </w:t>
      </w:r>
      <w:r w:rsidR="00046868">
        <w:rPr>
          <w:rFonts w:asciiTheme="minorHAnsi" w:eastAsiaTheme="minorHAnsi" w:hAnsiTheme="minorHAnsi" w:cstheme="minorBidi"/>
          <w:i/>
          <w:lang w:val="es-ES" w:eastAsia="es-ES"/>
        </w:rPr>
        <w:t>IA puede</w:t>
      </w:r>
      <w:r w:rsidR="00FC4D7C">
        <w:rPr>
          <w:rFonts w:asciiTheme="minorHAnsi" w:eastAsiaTheme="minorHAnsi" w:hAnsiTheme="minorHAnsi" w:cstheme="minorBidi"/>
          <w:i/>
          <w:lang w:val="es-ES" w:eastAsia="es-ES"/>
        </w:rPr>
        <w:t>n</w:t>
      </w:r>
      <w:r w:rsidR="00046868">
        <w:rPr>
          <w:rFonts w:asciiTheme="minorHAnsi" w:eastAsiaTheme="minorHAnsi" w:hAnsiTheme="minorHAnsi" w:cstheme="minorBidi"/>
          <w:i/>
          <w:lang w:val="es-ES" w:eastAsia="es-ES"/>
        </w:rPr>
        <w:t xml:space="preserve"> ahorrar hasta 30% en costos operativos</w:t>
      </w:r>
      <w:r w:rsidR="00973A67">
        <w:rPr>
          <w:rFonts w:asciiTheme="minorHAnsi" w:eastAsiaTheme="minorHAnsi" w:hAnsiTheme="minorHAnsi" w:cstheme="minorBidi"/>
          <w:i/>
          <w:lang w:val="es-ES" w:eastAsia="es-ES"/>
        </w:rPr>
        <w:t xml:space="preserve"> a las empresas</w:t>
      </w:r>
      <w:r w:rsidR="00A05B08">
        <w:rPr>
          <w:rFonts w:asciiTheme="minorHAnsi" w:eastAsiaTheme="minorHAnsi" w:hAnsiTheme="minorHAnsi" w:cstheme="minorBidi"/>
          <w:i/>
          <w:lang w:val="es-ES" w:eastAsia="es-ES"/>
        </w:rPr>
        <w:t xml:space="preserve"> </w:t>
      </w:r>
      <w:r w:rsidR="00046868">
        <w:rPr>
          <w:rFonts w:asciiTheme="minorHAnsi" w:eastAsiaTheme="minorHAnsi" w:hAnsiTheme="minorHAnsi" w:cstheme="minorBidi"/>
          <w:i/>
          <w:lang w:val="es-ES" w:eastAsia="es-ES"/>
        </w:rPr>
        <w:t>y registrar tiempos de respuesta de 3 segundos</w:t>
      </w:r>
      <w:r w:rsidR="00020BD2">
        <w:rPr>
          <w:rFonts w:asciiTheme="minorHAnsi" w:eastAsiaTheme="minorHAnsi" w:hAnsiTheme="minorHAnsi" w:cstheme="minorBidi"/>
          <w:i/>
          <w:lang w:val="es-ES" w:eastAsia="es-ES"/>
        </w:rPr>
        <w:t>.</w:t>
      </w:r>
    </w:p>
    <w:p w14:paraId="2692B53E" w14:textId="77777777" w:rsidR="003073FE" w:rsidRPr="00EB6996" w:rsidRDefault="003073FE" w:rsidP="00EB6996">
      <w:pPr>
        <w:pStyle w:val="Prrafodelista"/>
        <w:jc w:val="both"/>
        <w:rPr>
          <w:rFonts w:asciiTheme="minorHAnsi" w:eastAsiaTheme="minorHAnsi" w:hAnsiTheme="minorHAnsi" w:cstheme="minorBidi"/>
          <w:i/>
          <w:lang w:val="es-ES" w:eastAsia="es-ES"/>
        </w:rPr>
      </w:pPr>
    </w:p>
    <w:p w14:paraId="653FD0E8" w14:textId="07CEB491" w:rsidR="004A7A19" w:rsidRDefault="00C20AE9" w:rsidP="00027E94">
      <w:pPr>
        <w:jc w:val="both"/>
        <w:rPr>
          <w:rFonts w:asciiTheme="minorHAnsi" w:eastAsiaTheme="minorHAnsi" w:hAnsiTheme="minorHAnsi" w:cstheme="minorBidi"/>
          <w:lang w:val="es-ES" w:eastAsia="es-ES"/>
        </w:rPr>
      </w:pPr>
      <w:r w:rsidRPr="002D41E3">
        <w:rPr>
          <w:rFonts w:asciiTheme="minorHAnsi" w:eastAsiaTheme="minorHAnsi" w:hAnsiTheme="minorHAnsi" w:cstheme="minorBidi"/>
          <w:b/>
          <w:color w:val="1F4E79" w:themeColor="accent1" w:themeShade="80"/>
          <w:lang w:val="es-ES" w:eastAsia="es-ES"/>
        </w:rPr>
        <w:t xml:space="preserve">Ciudad de México a </w:t>
      </w:r>
      <w:r w:rsidR="00D010A7">
        <w:rPr>
          <w:rFonts w:asciiTheme="minorHAnsi" w:eastAsiaTheme="minorHAnsi" w:hAnsiTheme="minorHAnsi" w:cstheme="minorBidi"/>
          <w:b/>
          <w:color w:val="1F4E79" w:themeColor="accent1" w:themeShade="80"/>
          <w:lang w:val="es-ES" w:eastAsia="es-ES"/>
        </w:rPr>
        <w:t>8 de junio</w:t>
      </w:r>
      <w:r w:rsidR="00DB6E1E" w:rsidRPr="002D41E3">
        <w:rPr>
          <w:rFonts w:asciiTheme="minorHAnsi" w:eastAsiaTheme="minorHAnsi" w:hAnsiTheme="minorHAnsi" w:cstheme="minorBidi"/>
          <w:b/>
          <w:color w:val="1F4E79" w:themeColor="accent1" w:themeShade="80"/>
          <w:lang w:val="es-ES" w:eastAsia="es-ES"/>
        </w:rPr>
        <w:t xml:space="preserve"> </w:t>
      </w:r>
      <w:r w:rsidR="00DD24C5" w:rsidRPr="002D41E3">
        <w:rPr>
          <w:rFonts w:asciiTheme="minorHAnsi" w:eastAsiaTheme="minorHAnsi" w:hAnsiTheme="minorHAnsi" w:cstheme="minorBidi"/>
          <w:b/>
          <w:color w:val="1F4E79" w:themeColor="accent1" w:themeShade="80"/>
          <w:lang w:val="es-ES" w:eastAsia="es-ES"/>
        </w:rPr>
        <w:t>de 2021</w:t>
      </w:r>
      <w:r w:rsidR="007F661D">
        <w:rPr>
          <w:rFonts w:asciiTheme="minorHAnsi" w:eastAsiaTheme="minorHAnsi" w:hAnsiTheme="minorHAnsi" w:cstheme="minorBidi"/>
          <w:b/>
          <w:color w:val="1F4E79" w:themeColor="accent1" w:themeShade="80"/>
          <w:lang w:val="es-ES" w:eastAsia="es-ES"/>
        </w:rPr>
        <w:t xml:space="preserve">.- </w:t>
      </w:r>
      <w:r w:rsidR="00C03CAF">
        <w:rPr>
          <w:rFonts w:asciiTheme="minorHAnsi" w:eastAsiaTheme="minorHAnsi" w:hAnsiTheme="minorHAnsi" w:cstheme="minorBidi"/>
          <w:lang w:val="es-ES" w:eastAsia="es-ES"/>
        </w:rPr>
        <w:t xml:space="preserve">La tecnología de Inteligencia Artificial (IA) registrará un crecimiento anual de 17.5% para 2024, año en el que este mercado alcanzará un valor de 500 mil millones de dólares, según </w:t>
      </w:r>
      <w:r w:rsidR="007F661D">
        <w:rPr>
          <w:rFonts w:asciiTheme="minorHAnsi" w:eastAsiaTheme="minorHAnsi" w:hAnsiTheme="minorHAnsi" w:cstheme="minorBidi"/>
          <w:lang w:val="es-ES" w:eastAsia="es-ES"/>
        </w:rPr>
        <w:t>proyecciones</w:t>
      </w:r>
      <w:r w:rsidR="00C03CAF">
        <w:rPr>
          <w:rFonts w:asciiTheme="minorHAnsi" w:eastAsiaTheme="minorHAnsi" w:hAnsiTheme="minorHAnsi" w:cstheme="minorBidi"/>
          <w:lang w:val="es-ES" w:eastAsia="es-ES"/>
        </w:rPr>
        <w:t xml:space="preserve"> de la consultora IDC</w:t>
      </w:r>
      <w:r w:rsidR="00C03CAF">
        <w:rPr>
          <w:rStyle w:val="Refdenotaalfinal"/>
          <w:rFonts w:asciiTheme="minorHAnsi" w:eastAsiaTheme="minorHAnsi" w:hAnsiTheme="minorHAnsi" w:cstheme="minorBidi"/>
          <w:lang w:val="es-ES" w:eastAsia="es-ES"/>
        </w:rPr>
        <w:endnoteReference w:id="1"/>
      </w:r>
      <w:r w:rsidR="007F661D">
        <w:rPr>
          <w:rFonts w:asciiTheme="minorHAnsi" w:eastAsiaTheme="minorHAnsi" w:hAnsiTheme="minorHAnsi" w:cstheme="minorBidi"/>
          <w:lang w:val="es-ES" w:eastAsia="es-ES"/>
        </w:rPr>
        <w:t>,</w:t>
      </w:r>
      <w:r w:rsidR="00C03CAF">
        <w:rPr>
          <w:rFonts w:asciiTheme="minorHAnsi" w:eastAsiaTheme="minorHAnsi" w:hAnsiTheme="minorHAnsi" w:cstheme="minorBidi"/>
          <w:lang w:val="es-ES" w:eastAsia="es-ES"/>
        </w:rPr>
        <w:t xml:space="preserve"> pero esto no significa que</w:t>
      </w:r>
      <w:r w:rsidR="006E3137">
        <w:rPr>
          <w:rFonts w:asciiTheme="minorHAnsi" w:eastAsiaTheme="minorHAnsi" w:hAnsiTheme="minorHAnsi" w:cstheme="minorBidi"/>
          <w:lang w:val="es-ES" w:eastAsia="es-ES"/>
        </w:rPr>
        <w:t xml:space="preserve"> reemplazarán a los agentes humanos</w:t>
      </w:r>
      <w:r w:rsidR="00C03CAF">
        <w:rPr>
          <w:rFonts w:asciiTheme="minorHAnsi" w:eastAsiaTheme="minorHAnsi" w:hAnsiTheme="minorHAnsi" w:cstheme="minorBidi"/>
          <w:lang w:val="es-ES" w:eastAsia="es-ES"/>
        </w:rPr>
        <w:t xml:space="preserve"> en interacciones de Experiencia al Cliente (CX)</w:t>
      </w:r>
      <w:r w:rsidR="006E3137">
        <w:rPr>
          <w:rFonts w:asciiTheme="minorHAnsi" w:eastAsiaTheme="minorHAnsi" w:hAnsiTheme="minorHAnsi" w:cstheme="minorBidi"/>
          <w:lang w:val="es-ES" w:eastAsia="es-ES"/>
        </w:rPr>
        <w:t xml:space="preserve">, </w:t>
      </w:r>
      <w:r w:rsidR="00C03CAF">
        <w:rPr>
          <w:rFonts w:asciiTheme="minorHAnsi" w:eastAsiaTheme="minorHAnsi" w:hAnsiTheme="minorHAnsi" w:cstheme="minorBidi"/>
          <w:lang w:val="es-ES" w:eastAsia="es-ES"/>
        </w:rPr>
        <w:t>de acuerdo con estimaciones realizadas</w:t>
      </w:r>
      <w:r w:rsidR="006E3137">
        <w:rPr>
          <w:rFonts w:asciiTheme="minorHAnsi" w:eastAsiaTheme="minorHAnsi" w:hAnsiTheme="minorHAnsi" w:cstheme="minorBidi"/>
          <w:lang w:val="es-ES" w:eastAsia="es-ES"/>
        </w:rPr>
        <w:t xml:space="preserve"> por </w:t>
      </w:r>
      <w:r w:rsidR="009E002F">
        <w:rPr>
          <w:rFonts w:asciiTheme="minorHAnsi" w:eastAsiaTheme="minorHAnsi" w:hAnsiTheme="minorHAnsi" w:cstheme="minorBidi"/>
          <w:lang w:val="es-ES" w:eastAsia="es-ES"/>
        </w:rPr>
        <w:t xml:space="preserve">Atento </w:t>
      </w:r>
      <w:r w:rsidR="00216E7B">
        <w:rPr>
          <w:rFonts w:asciiTheme="minorHAnsi" w:eastAsiaTheme="minorHAnsi" w:hAnsiTheme="minorHAnsi" w:cstheme="minorHAnsi"/>
          <w:lang w:val="es-ES" w:eastAsia="es-ES"/>
        </w:rPr>
        <w:t>—</w:t>
      </w:r>
      <w:r w:rsidR="009E002F">
        <w:rPr>
          <w:rFonts w:asciiTheme="minorHAnsi" w:eastAsiaTheme="minorHAnsi" w:hAnsiTheme="minorHAnsi" w:cstheme="minorBidi"/>
          <w:lang w:val="es-ES" w:eastAsia="es-ES"/>
        </w:rPr>
        <w:t>empresa global especializada en CX</w:t>
      </w:r>
      <w:r w:rsidR="00216E7B">
        <w:rPr>
          <w:rFonts w:asciiTheme="minorHAnsi" w:eastAsiaTheme="minorHAnsi" w:hAnsiTheme="minorHAnsi" w:cstheme="minorHAnsi"/>
          <w:lang w:val="es-ES" w:eastAsia="es-ES"/>
        </w:rPr>
        <w:t>—</w:t>
      </w:r>
      <w:r w:rsidR="007F661D">
        <w:rPr>
          <w:rFonts w:asciiTheme="minorHAnsi" w:eastAsiaTheme="minorHAnsi" w:hAnsiTheme="minorHAnsi" w:cstheme="minorHAnsi"/>
          <w:lang w:val="es-ES" w:eastAsia="es-ES"/>
        </w:rPr>
        <w:t>esta tecnología sería de ayuda</w:t>
      </w:r>
      <w:r w:rsidR="00A05B08">
        <w:rPr>
          <w:rFonts w:asciiTheme="minorHAnsi" w:eastAsiaTheme="minorHAnsi" w:hAnsiTheme="minorHAnsi" w:cstheme="minorHAnsi"/>
          <w:lang w:val="es-ES" w:eastAsia="es-ES"/>
        </w:rPr>
        <w:t xml:space="preserve"> para los agentes</w:t>
      </w:r>
      <w:r w:rsidR="007F661D">
        <w:rPr>
          <w:rFonts w:asciiTheme="minorHAnsi" w:eastAsiaTheme="minorHAnsi" w:hAnsiTheme="minorHAnsi" w:cstheme="minorHAnsi"/>
          <w:lang w:val="es-ES" w:eastAsia="es-ES"/>
        </w:rPr>
        <w:t xml:space="preserve"> </w:t>
      </w:r>
      <w:r w:rsidR="000255CD">
        <w:rPr>
          <w:rFonts w:asciiTheme="minorHAnsi" w:eastAsiaTheme="minorHAnsi" w:hAnsiTheme="minorHAnsi" w:cstheme="minorHAnsi"/>
          <w:lang w:val="es-ES" w:eastAsia="es-ES"/>
        </w:rPr>
        <w:t xml:space="preserve">en </w:t>
      </w:r>
      <w:r w:rsidR="007F661D">
        <w:rPr>
          <w:rFonts w:asciiTheme="minorHAnsi" w:eastAsiaTheme="minorHAnsi" w:hAnsiTheme="minorHAnsi" w:cstheme="minorHAnsi"/>
          <w:lang w:val="es-ES" w:eastAsia="es-ES"/>
        </w:rPr>
        <w:t xml:space="preserve">hasta </w:t>
      </w:r>
      <w:r w:rsidR="000255CD">
        <w:rPr>
          <w:rFonts w:asciiTheme="minorHAnsi" w:eastAsiaTheme="minorHAnsi" w:hAnsiTheme="minorHAnsi" w:cstheme="minorHAnsi"/>
          <w:lang w:val="es-ES" w:eastAsia="es-ES"/>
        </w:rPr>
        <w:t>60% de las operaciones de un centro de contacto</w:t>
      </w:r>
      <w:r w:rsidR="00B715CC">
        <w:rPr>
          <w:rFonts w:asciiTheme="minorHAnsi" w:eastAsiaTheme="minorHAnsi" w:hAnsiTheme="minorHAnsi" w:cstheme="minorBidi"/>
          <w:lang w:val="es-ES" w:eastAsia="es-ES"/>
        </w:rPr>
        <w:t>.</w:t>
      </w:r>
      <w:r w:rsidR="008C1D20">
        <w:rPr>
          <w:rFonts w:asciiTheme="minorHAnsi" w:eastAsiaTheme="minorHAnsi" w:hAnsiTheme="minorHAnsi" w:cstheme="minorBidi"/>
          <w:lang w:val="es-ES" w:eastAsia="es-ES"/>
        </w:rPr>
        <w:t xml:space="preserve"> </w:t>
      </w:r>
    </w:p>
    <w:p w14:paraId="5C3E35C3" w14:textId="77777777" w:rsidR="000255CD" w:rsidRDefault="000255CD" w:rsidP="00027E94">
      <w:pPr>
        <w:jc w:val="both"/>
        <w:rPr>
          <w:rFonts w:asciiTheme="minorHAnsi" w:eastAsiaTheme="minorHAnsi" w:hAnsiTheme="minorHAnsi" w:cstheme="minorBidi"/>
          <w:lang w:val="es-ES" w:eastAsia="es-ES"/>
        </w:rPr>
      </w:pPr>
    </w:p>
    <w:p w14:paraId="59A15FBE" w14:textId="77777777" w:rsidR="00C03CAF" w:rsidRDefault="000255CD" w:rsidP="00027E9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 xml:space="preserve">Se le conoce como Inteligencia Artificial </w:t>
      </w:r>
      <w:r w:rsidR="004D0F2F">
        <w:rPr>
          <w:rFonts w:asciiTheme="minorHAnsi" w:eastAsiaTheme="minorHAnsi" w:hAnsiTheme="minorHAnsi" w:cstheme="minorBidi"/>
          <w:lang w:val="es-ES" w:eastAsia="es-ES"/>
        </w:rPr>
        <w:t xml:space="preserve">a desarrollos programables </w:t>
      </w:r>
      <w:r w:rsidR="00424998">
        <w:rPr>
          <w:rFonts w:asciiTheme="minorHAnsi" w:eastAsiaTheme="minorHAnsi" w:hAnsiTheme="minorHAnsi" w:cstheme="minorBidi"/>
          <w:lang w:val="es-ES" w:eastAsia="es-ES"/>
        </w:rPr>
        <w:t>capaces de</w:t>
      </w:r>
      <w:r w:rsidR="004D0F2F">
        <w:rPr>
          <w:rFonts w:asciiTheme="minorHAnsi" w:eastAsiaTheme="minorHAnsi" w:hAnsiTheme="minorHAnsi" w:cstheme="minorBidi"/>
          <w:lang w:val="es-ES" w:eastAsia="es-ES"/>
        </w:rPr>
        <w:t xml:space="preserve"> evolucionar</w:t>
      </w:r>
      <w:r w:rsidR="007D57D4">
        <w:rPr>
          <w:rFonts w:asciiTheme="minorHAnsi" w:eastAsiaTheme="minorHAnsi" w:hAnsiTheme="minorHAnsi" w:cstheme="minorBidi"/>
          <w:lang w:val="es-ES" w:eastAsia="es-ES"/>
        </w:rPr>
        <w:t xml:space="preserve"> a partir de aprendizaje</w:t>
      </w:r>
      <w:r w:rsidR="00424998">
        <w:rPr>
          <w:rFonts w:asciiTheme="minorHAnsi" w:eastAsiaTheme="minorHAnsi" w:hAnsiTheme="minorHAnsi" w:cstheme="minorBidi"/>
          <w:lang w:val="es-ES" w:eastAsia="es-ES"/>
        </w:rPr>
        <w:t xml:space="preserve"> y que </w:t>
      </w:r>
      <w:r w:rsidR="004D0F2F">
        <w:rPr>
          <w:rFonts w:asciiTheme="minorHAnsi" w:eastAsiaTheme="minorHAnsi" w:hAnsiTheme="minorHAnsi" w:cstheme="minorBidi"/>
          <w:lang w:val="es-ES" w:eastAsia="es-ES"/>
        </w:rPr>
        <w:t>utiliza</w:t>
      </w:r>
      <w:r w:rsidR="00424998">
        <w:rPr>
          <w:rFonts w:asciiTheme="minorHAnsi" w:eastAsiaTheme="minorHAnsi" w:hAnsiTheme="minorHAnsi" w:cstheme="minorBidi"/>
          <w:lang w:val="es-ES" w:eastAsia="es-ES"/>
        </w:rPr>
        <w:t>n</w:t>
      </w:r>
      <w:r w:rsidR="004D0F2F">
        <w:rPr>
          <w:rFonts w:asciiTheme="minorHAnsi" w:eastAsiaTheme="minorHAnsi" w:hAnsiTheme="minorHAnsi" w:cstheme="minorBidi"/>
          <w:lang w:val="es-ES" w:eastAsia="es-ES"/>
        </w:rPr>
        <w:t xml:space="preserve"> algoritmos para ejecutar tareas complejas. En CX, estos avances se emplean para resolver procesos de manera automatizada </w:t>
      </w:r>
      <w:r w:rsidR="00424998">
        <w:rPr>
          <w:rFonts w:asciiTheme="minorHAnsi" w:eastAsiaTheme="minorHAnsi" w:hAnsiTheme="minorHAnsi" w:cstheme="minorBidi"/>
          <w:lang w:val="es-ES" w:eastAsia="es-ES"/>
        </w:rPr>
        <w:t xml:space="preserve">con el objetivo de </w:t>
      </w:r>
      <w:r w:rsidR="004D0F2F">
        <w:rPr>
          <w:rFonts w:asciiTheme="minorHAnsi" w:eastAsiaTheme="minorHAnsi" w:hAnsiTheme="minorHAnsi" w:cstheme="minorBidi"/>
          <w:lang w:val="es-ES" w:eastAsia="es-ES"/>
        </w:rPr>
        <w:t xml:space="preserve">mejorar el desempeño de las empresas y facilitar </w:t>
      </w:r>
      <w:r w:rsidR="00681A4C">
        <w:rPr>
          <w:rFonts w:asciiTheme="minorHAnsi" w:eastAsiaTheme="minorHAnsi" w:hAnsiTheme="minorHAnsi" w:cstheme="minorBidi"/>
          <w:lang w:val="es-ES" w:eastAsia="es-ES"/>
        </w:rPr>
        <w:t>la interacción con los usuarios</w:t>
      </w:r>
      <w:r w:rsidR="003822EB">
        <w:rPr>
          <w:rFonts w:asciiTheme="minorHAnsi" w:eastAsiaTheme="minorHAnsi" w:hAnsiTheme="minorHAnsi" w:cstheme="minorBidi"/>
          <w:lang w:val="es-ES" w:eastAsia="es-ES"/>
        </w:rPr>
        <w:t>, apoyando a los operadores con información relevante para cada operación</w:t>
      </w:r>
      <w:r w:rsidR="00681A4C">
        <w:rPr>
          <w:rFonts w:asciiTheme="minorHAnsi" w:eastAsiaTheme="minorHAnsi" w:hAnsiTheme="minorHAnsi" w:cstheme="minorBidi"/>
          <w:lang w:val="es-ES" w:eastAsia="es-ES"/>
        </w:rPr>
        <w:t xml:space="preserve">. </w:t>
      </w:r>
    </w:p>
    <w:p w14:paraId="1EE2D710" w14:textId="77777777" w:rsidR="000255CD" w:rsidRDefault="000255CD" w:rsidP="00027E94">
      <w:pPr>
        <w:jc w:val="both"/>
        <w:rPr>
          <w:rFonts w:asciiTheme="minorHAnsi" w:eastAsiaTheme="minorHAnsi" w:hAnsiTheme="minorHAnsi" w:cstheme="minorBidi"/>
          <w:lang w:val="es-ES" w:eastAsia="es-ES"/>
        </w:rPr>
      </w:pPr>
    </w:p>
    <w:p w14:paraId="7F614EE2" w14:textId="2DB878FE" w:rsidR="008C1D20" w:rsidRDefault="000255CD" w:rsidP="00027E94">
      <w:pPr>
        <w:jc w:val="both"/>
        <w:rPr>
          <w:rFonts w:asciiTheme="minorHAnsi" w:eastAsiaTheme="minorHAnsi" w:hAnsiTheme="minorHAnsi" w:cstheme="minorBidi"/>
          <w:lang w:val="es-ES" w:eastAsia="es-ES"/>
        </w:rPr>
      </w:pPr>
      <w:r w:rsidRPr="003A2424">
        <w:rPr>
          <w:rFonts w:asciiTheme="minorHAnsi" w:eastAsiaTheme="minorHAnsi" w:hAnsiTheme="minorHAnsi" w:cstheme="minorBidi"/>
          <w:lang w:val="es-ES" w:eastAsia="es-ES"/>
        </w:rPr>
        <w:t>La industria de</w:t>
      </w:r>
      <w:r w:rsidR="00681A4C" w:rsidRPr="003A2424">
        <w:rPr>
          <w:rFonts w:asciiTheme="minorHAnsi" w:eastAsiaTheme="minorHAnsi" w:hAnsiTheme="minorHAnsi" w:cstheme="minorBidi"/>
          <w:lang w:val="es-ES" w:eastAsia="es-ES"/>
        </w:rPr>
        <w:t>l</w:t>
      </w:r>
      <w:r w:rsidRPr="003A2424">
        <w:rPr>
          <w:rFonts w:asciiTheme="minorHAnsi" w:eastAsiaTheme="minorHAnsi" w:hAnsiTheme="minorHAnsi" w:cstheme="minorBidi"/>
          <w:lang w:val="es-ES" w:eastAsia="es-ES"/>
        </w:rPr>
        <w:t xml:space="preserve"> CX actualmente cuenta con </w:t>
      </w:r>
      <w:r w:rsidR="004D0F2F" w:rsidRPr="003A2424">
        <w:rPr>
          <w:rFonts w:asciiTheme="minorHAnsi" w:eastAsiaTheme="minorHAnsi" w:hAnsiTheme="minorHAnsi" w:cstheme="minorBidi"/>
          <w:lang w:val="es-ES" w:eastAsia="es-ES"/>
        </w:rPr>
        <w:t>divers</w:t>
      </w:r>
      <w:r w:rsidR="00512A2F" w:rsidRPr="003A2424">
        <w:rPr>
          <w:rFonts w:asciiTheme="minorHAnsi" w:eastAsiaTheme="minorHAnsi" w:hAnsiTheme="minorHAnsi" w:cstheme="minorBidi"/>
          <w:lang w:val="es-ES" w:eastAsia="es-ES"/>
        </w:rPr>
        <w:t>o</w:t>
      </w:r>
      <w:r w:rsidR="004D0F2F" w:rsidRPr="003A2424">
        <w:rPr>
          <w:rFonts w:asciiTheme="minorHAnsi" w:eastAsiaTheme="minorHAnsi" w:hAnsiTheme="minorHAnsi" w:cstheme="minorBidi"/>
          <w:lang w:val="es-ES" w:eastAsia="es-ES"/>
        </w:rPr>
        <w:t xml:space="preserve">s </w:t>
      </w:r>
      <w:r w:rsidR="00512A2F" w:rsidRPr="003A2424">
        <w:rPr>
          <w:rFonts w:asciiTheme="minorHAnsi" w:eastAsiaTheme="minorHAnsi" w:hAnsiTheme="minorHAnsi" w:cstheme="minorBidi"/>
          <w:lang w:val="es-ES" w:eastAsia="es-ES"/>
        </w:rPr>
        <w:t>casos de uso</w:t>
      </w:r>
      <w:r w:rsidR="004D0F2F" w:rsidRPr="003A2424">
        <w:rPr>
          <w:rFonts w:asciiTheme="minorHAnsi" w:eastAsiaTheme="minorHAnsi" w:hAnsiTheme="minorHAnsi" w:cstheme="minorBidi"/>
          <w:lang w:val="es-ES" w:eastAsia="es-ES"/>
        </w:rPr>
        <w:t xml:space="preserve"> basad</w:t>
      </w:r>
      <w:r w:rsidR="00512A2F" w:rsidRPr="003A2424">
        <w:rPr>
          <w:rFonts w:asciiTheme="minorHAnsi" w:eastAsiaTheme="minorHAnsi" w:hAnsiTheme="minorHAnsi" w:cstheme="minorBidi"/>
          <w:lang w:val="es-ES" w:eastAsia="es-ES"/>
        </w:rPr>
        <w:t>o</w:t>
      </w:r>
      <w:r w:rsidR="004D0F2F" w:rsidRPr="003A2424">
        <w:rPr>
          <w:rFonts w:asciiTheme="minorHAnsi" w:eastAsiaTheme="minorHAnsi" w:hAnsiTheme="minorHAnsi" w:cstheme="minorBidi"/>
          <w:lang w:val="es-ES" w:eastAsia="es-ES"/>
        </w:rPr>
        <w:t>s en IA, entre l</w:t>
      </w:r>
      <w:r w:rsidR="00512A2F" w:rsidRPr="003A2424">
        <w:rPr>
          <w:rFonts w:asciiTheme="minorHAnsi" w:eastAsiaTheme="minorHAnsi" w:hAnsiTheme="minorHAnsi" w:cstheme="minorBidi"/>
          <w:lang w:val="es-ES" w:eastAsia="es-ES"/>
        </w:rPr>
        <w:t>o</w:t>
      </w:r>
      <w:r w:rsidR="004D0F2F" w:rsidRPr="003A2424">
        <w:rPr>
          <w:rFonts w:asciiTheme="minorHAnsi" w:eastAsiaTheme="minorHAnsi" w:hAnsiTheme="minorHAnsi" w:cstheme="minorBidi"/>
          <w:lang w:val="es-ES" w:eastAsia="es-ES"/>
        </w:rPr>
        <w:t xml:space="preserve">s que </w:t>
      </w:r>
      <w:r w:rsidR="003822EB" w:rsidRPr="003A2424">
        <w:rPr>
          <w:rFonts w:asciiTheme="minorHAnsi" w:eastAsiaTheme="minorHAnsi" w:hAnsiTheme="minorHAnsi" w:cstheme="minorBidi"/>
          <w:lang w:val="es-ES" w:eastAsia="es-ES"/>
        </w:rPr>
        <w:t xml:space="preserve">cabe destacar el soporte </w:t>
      </w:r>
      <w:r w:rsidR="00A54A24" w:rsidRPr="003A2424">
        <w:rPr>
          <w:rFonts w:asciiTheme="minorHAnsi" w:eastAsiaTheme="minorHAnsi" w:hAnsiTheme="minorHAnsi" w:cstheme="minorBidi"/>
          <w:lang w:val="es-ES" w:eastAsia="es-ES"/>
        </w:rPr>
        <w:t xml:space="preserve">a </w:t>
      </w:r>
      <w:r w:rsidR="003822EB" w:rsidRPr="003A2424">
        <w:rPr>
          <w:rFonts w:asciiTheme="minorHAnsi" w:eastAsiaTheme="minorHAnsi" w:hAnsiTheme="minorHAnsi" w:cstheme="minorBidi"/>
          <w:lang w:val="es-ES" w:eastAsia="es-ES"/>
        </w:rPr>
        <w:t xml:space="preserve">humanos con la presentación de argumentos de venta o </w:t>
      </w:r>
      <w:r w:rsidR="00A54A24" w:rsidRPr="003A2424">
        <w:rPr>
          <w:rFonts w:asciiTheme="minorHAnsi" w:eastAsiaTheme="minorHAnsi" w:hAnsiTheme="minorHAnsi" w:cstheme="minorBidi"/>
          <w:lang w:val="es-ES" w:eastAsia="es-ES"/>
        </w:rPr>
        <w:t xml:space="preserve">el </w:t>
      </w:r>
      <w:r w:rsidR="003822EB" w:rsidRPr="003A2424">
        <w:rPr>
          <w:rFonts w:asciiTheme="minorHAnsi" w:eastAsiaTheme="minorHAnsi" w:hAnsiTheme="minorHAnsi" w:cstheme="minorBidi"/>
          <w:lang w:val="es-ES" w:eastAsia="es-ES"/>
        </w:rPr>
        <w:t>soporte a los operadores, y que mejoran significativamente la calidad de la experiencia del cliente.</w:t>
      </w:r>
      <w:r w:rsidR="003822EB">
        <w:rPr>
          <w:rFonts w:asciiTheme="minorHAnsi" w:eastAsiaTheme="minorHAnsi" w:hAnsiTheme="minorHAnsi" w:cstheme="minorBidi"/>
          <w:lang w:val="es-ES" w:eastAsia="es-ES"/>
        </w:rPr>
        <w:t xml:space="preserve"> Además, esta tecnología puede</w:t>
      </w:r>
      <w:r w:rsidR="004D0F2F">
        <w:rPr>
          <w:rFonts w:asciiTheme="minorHAnsi" w:eastAsiaTheme="minorHAnsi" w:hAnsiTheme="minorHAnsi" w:cstheme="minorBidi"/>
          <w:lang w:val="es-ES" w:eastAsia="es-ES"/>
        </w:rPr>
        <w:t xml:space="preserve"> </w:t>
      </w:r>
      <w:r w:rsidR="003822EB">
        <w:rPr>
          <w:rFonts w:asciiTheme="minorHAnsi" w:eastAsiaTheme="minorHAnsi" w:hAnsiTheme="minorHAnsi" w:cstheme="minorBidi"/>
          <w:lang w:val="es-ES" w:eastAsia="es-ES"/>
        </w:rPr>
        <w:t>utilizarse en</w:t>
      </w:r>
      <w:r w:rsidR="004D0F2F">
        <w:rPr>
          <w:rFonts w:asciiTheme="minorHAnsi" w:eastAsiaTheme="minorHAnsi" w:hAnsiTheme="minorHAnsi" w:cstheme="minorBidi"/>
          <w:lang w:val="es-ES" w:eastAsia="es-ES"/>
        </w:rPr>
        <w:t xml:space="preserve"> </w:t>
      </w:r>
      <w:r w:rsidR="004D0F2F" w:rsidRPr="003822EB">
        <w:rPr>
          <w:rFonts w:asciiTheme="minorHAnsi" w:eastAsiaTheme="minorHAnsi" w:hAnsiTheme="minorHAnsi" w:cstheme="minorBidi"/>
          <w:bCs/>
          <w:lang w:val="es-ES" w:eastAsia="es-ES"/>
        </w:rPr>
        <w:t>Chatbots</w:t>
      </w:r>
      <w:r w:rsidR="004D0F2F">
        <w:rPr>
          <w:rFonts w:asciiTheme="minorHAnsi" w:eastAsiaTheme="minorHAnsi" w:hAnsiTheme="minorHAnsi" w:cstheme="minorBidi"/>
          <w:lang w:val="es-ES" w:eastAsia="es-ES"/>
        </w:rPr>
        <w:t xml:space="preserve">, que se encargan de interacciones en servicios de chat o plataformas de mensajería; </w:t>
      </w:r>
      <w:r w:rsidR="003822EB">
        <w:rPr>
          <w:rFonts w:asciiTheme="minorHAnsi" w:eastAsiaTheme="minorHAnsi" w:hAnsiTheme="minorHAnsi" w:cstheme="minorBidi"/>
          <w:lang w:val="es-ES" w:eastAsia="es-ES"/>
        </w:rPr>
        <w:t xml:space="preserve">o </w:t>
      </w:r>
      <w:r w:rsidR="004D0F2F" w:rsidRPr="003822EB">
        <w:rPr>
          <w:rFonts w:asciiTheme="minorHAnsi" w:eastAsiaTheme="minorHAnsi" w:hAnsiTheme="minorHAnsi" w:cstheme="minorBidi"/>
          <w:bCs/>
          <w:lang w:val="es-ES" w:eastAsia="es-ES"/>
        </w:rPr>
        <w:t>soluciones de automatización RPA</w:t>
      </w:r>
      <w:r w:rsidR="004D0F2F">
        <w:rPr>
          <w:rFonts w:asciiTheme="minorHAnsi" w:eastAsiaTheme="minorHAnsi" w:hAnsiTheme="minorHAnsi" w:cstheme="minorBidi"/>
          <w:lang w:val="es-ES" w:eastAsia="es-ES"/>
        </w:rPr>
        <w:t xml:space="preserve"> (automatización robótica de procesos) que se utiliza</w:t>
      </w:r>
      <w:r w:rsidR="00681976">
        <w:rPr>
          <w:rFonts w:asciiTheme="minorHAnsi" w:eastAsiaTheme="minorHAnsi" w:hAnsiTheme="minorHAnsi" w:cstheme="minorBidi"/>
          <w:lang w:val="es-ES" w:eastAsia="es-ES"/>
        </w:rPr>
        <w:t>n</w:t>
      </w:r>
      <w:r w:rsidR="004D0F2F">
        <w:rPr>
          <w:rFonts w:asciiTheme="minorHAnsi" w:eastAsiaTheme="minorHAnsi" w:hAnsiTheme="minorHAnsi" w:cstheme="minorBidi"/>
          <w:lang w:val="es-ES" w:eastAsia="es-ES"/>
        </w:rPr>
        <w:t xml:space="preserve"> para capturar y validar información en requisitos como solicitud</w:t>
      </w:r>
      <w:r w:rsidR="00681976">
        <w:rPr>
          <w:rFonts w:asciiTheme="minorHAnsi" w:eastAsiaTheme="minorHAnsi" w:hAnsiTheme="minorHAnsi" w:cstheme="minorBidi"/>
          <w:lang w:val="es-ES" w:eastAsia="es-ES"/>
        </w:rPr>
        <w:t>es</w:t>
      </w:r>
      <w:r w:rsidR="003822EB">
        <w:rPr>
          <w:rFonts w:asciiTheme="minorHAnsi" w:eastAsiaTheme="minorHAnsi" w:hAnsiTheme="minorHAnsi" w:cstheme="minorBidi"/>
          <w:lang w:val="es-ES" w:eastAsia="es-ES"/>
        </w:rPr>
        <w:t xml:space="preserve"> de créditos. </w:t>
      </w:r>
    </w:p>
    <w:p w14:paraId="531C3EA5" w14:textId="77777777" w:rsidR="008F37B2" w:rsidRDefault="008F37B2" w:rsidP="00027E94">
      <w:pPr>
        <w:jc w:val="both"/>
        <w:rPr>
          <w:rFonts w:asciiTheme="minorHAnsi" w:eastAsiaTheme="minorHAnsi" w:hAnsiTheme="minorHAnsi" w:cstheme="minorBidi"/>
          <w:lang w:val="es-ES" w:eastAsia="es-ES"/>
        </w:rPr>
      </w:pPr>
    </w:p>
    <w:p w14:paraId="7D9C143B" w14:textId="77777777" w:rsidR="00A05B08" w:rsidRDefault="00DB2F88" w:rsidP="00027E9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También e</w:t>
      </w:r>
      <w:r w:rsidR="00E73330">
        <w:rPr>
          <w:rFonts w:asciiTheme="minorHAnsi" w:eastAsiaTheme="minorHAnsi" w:hAnsiTheme="minorHAnsi" w:cstheme="minorBidi"/>
          <w:lang w:val="es-ES" w:eastAsia="es-ES"/>
        </w:rPr>
        <w:t>xisten s</w:t>
      </w:r>
      <w:r w:rsidR="008F37B2">
        <w:rPr>
          <w:rFonts w:asciiTheme="minorHAnsi" w:eastAsiaTheme="minorHAnsi" w:hAnsiTheme="minorHAnsi" w:cstheme="minorBidi"/>
          <w:lang w:val="es-ES" w:eastAsia="es-ES"/>
        </w:rPr>
        <w:t xml:space="preserve">oluciones </w:t>
      </w:r>
      <w:r w:rsidR="00E73330">
        <w:rPr>
          <w:rFonts w:asciiTheme="minorHAnsi" w:eastAsiaTheme="minorHAnsi" w:hAnsiTheme="minorHAnsi" w:cstheme="minorBidi"/>
          <w:lang w:val="es-ES" w:eastAsia="es-ES"/>
        </w:rPr>
        <w:t>a partir de</w:t>
      </w:r>
      <w:r w:rsidR="008F37B2">
        <w:rPr>
          <w:rFonts w:asciiTheme="minorHAnsi" w:eastAsiaTheme="minorHAnsi" w:hAnsiTheme="minorHAnsi" w:cstheme="minorBidi"/>
          <w:lang w:val="es-ES" w:eastAsia="es-ES"/>
        </w:rPr>
        <w:t xml:space="preserve"> IA </w:t>
      </w:r>
      <w:r w:rsidR="00E73330">
        <w:rPr>
          <w:rFonts w:asciiTheme="minorHAnsi" w:eastAsiaTheme="minorHAnsi" w:hAnsiTheme="minorHAnsi" w:cstheme="minorBidi"/>
          <w:lang w:val="es-ES" w:eastAsia="es-ES"/>
        </w:rPr>
        <w:t xml:space="preserve">que </w:t>
      </w:r>
      <w:r w:rsidR="008F37B2">
        <w:rPr>
          <w:rFonts w:asciiTheme="minorHAnsi" w:eastAsiaTheme="minorHAnsi" w:hAnsiTheme="minorHAnsi" w:cstheme="minorBidi"/>
          <w:lang w:val="es-ES" w:eastAsia="es-ES"/>
        </w:rPr>
        <w:t xml:space="preserve">no sólo se limitan a interacciones en texto, </w:t>
      </w:r>
      <w:r>
        <w:rPr>
          <w:rFonts w:asciiTheme="minorHAnsi" w:eastAsiaTheme="minorHAnsi" w:hAnsiTheme="minorHAnsi" w:cstheme="minorBidi"/>
          <w:lang w:val="es-ES" w:eastAsia="es-ES"/>
        </w:rPr>
        <w:t>sino también</w:t>
      </w:r>
      <w:r w:rsidR="008F37B2">
        <w:rPr>
          <w:rFonts w:asciiTheme="minorHAnsi" w:eastAsiaTheme="minorHAnsi" w:hAnsiTheme="minorHAnsi" w:cstheme="minorBidi"/>
          <w:lang w:val="es-ES" w:eastAsia="es-ES"/>
        </w:rPr>
        <w:t xml:space="preserve"> pueden atender a un</w:t>
      </w:r>
      <w:r w:rsidR="00C460E0">
        <w:rPr>
          <w:rFonts w:asciiTheme="minorHAnsi" w:eastAsiaTheme="minorHAnsi" w:hAnsiTheme="minorHAnsi" w:cstheme="minorBidi"/>
          <w:lang w:val="es-ES" w:eastAsia="es-ES"/>
        </w:rPr>
        <w:t xml:space="preserve"> cliente </w:t>
      </w:r>
      <w:r w:rsidR="008F37B2">
        <w:rPr>
          <w:rFonts w:asciiTheme="minorHAnsi" w:eastAsiaTheme="minorHAnsi" w:hAnsiTheme="minorHAnsi" w:cstheme="minorBidi"/>
          <w:lang w:val="es-ES" w:eastAsia="es-ES"/>
        </w:rPr>
        <w:t>vía telefónica, de una manera muy similar a c</w:t>
      </w:r>
      <w:r w:rsidR="007F661D">
        <w:rPr>
          <w:rFonts w:asciiTheme="minorHAnsi" w:eastAsiaTheme="minorHAnsi" w:hAnsiTheme="minorHAnsi" w:cstheme="minorBidi"/>
          <w:lang w:val="es-ES" w:eastAsia="es-ES"/>
        </w:rPr>
        <w:t>o</w:t>
      </w:r>
      <w:r w:rsidR="008F37B2">
        <w:rPr>
          <w:rFonts w:asciiTheme="minorHAnsi" w:eastAsiaTheme="minorHAnsi" w:hAnsiTheme="minorHAnsi" w:cstheme="minorBidi"/>
          <w:lang w:val="es-ES" w:eastAsia="es-ES"/>
        </w:rPr>
        <w:t xml:space="preserve">mo lo haría una persona. </w:t>
      </w:r>
    </w:p>
    <w:p w14:paraId="67C128E5" w14:textId="77777777" w:rsidR="00A05B08" w:rsidRDefault="00A05B08" w:rsidP="00027E94">
      <w:pPr>
        <w:jc w:val="both"/>
        <w:rPr>
          <w:rFonts w:asciiTheme="minorHAnsi" w:eastAsiaTheme="minorHAnsi" w:hAnsiTheme="minorHAnsi" w:cstheme="minorBidi"/>
          <w:lang w:val="es-ES" w:eastAsia="es-ES"/>
        </w:rPr>
      </w:pPr>
    </w:p>
    <w:p w14:paraId="784AD6FE" w14:textId="77777777" w:rsidR="008F37B2" w:rsidRDefault="00FF223C" w:rsidP="00027E9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Asimismo</w:t>
      </w:r>
      <w:r w:rsidR="008F37B2">
        <w:rPr>
          <w:rFonts w:asciiTheme="minorHAnsi" w:eastAsiaTheme="minorHAnsi" w:hAnsiTheme="minorHAnsi" w:cstheme="minorBidi"/>
          <w:lang w:val="es-ES" w:eastAsia="es-ES"/>
        </w:rPr>
        <w:t xml:space="preserve">, </w:t>
      </w:r>
      <w:r w:rsidR="008F37B2" w:rsidRPr="00625302">
        <w:rPr>
          <w:rFonts w:asciiTheme="minorHAnsi" w:eastAsiaTheme="minorHAnsi" w:hAnsiTheme="minorHAnsi" w:cstheme="minorBidi"/>
          <w:b/>
          <w:bCs/>
          <w:lang w:val="es-ES" w:eastAsia="es-ES"/>
        </w:rPr>
        <w:t xml:space="preserve">desarrollos IVR </w:t>
      </w:r>
      <w:r w:rsidR="008F37B2">
        <w:rPr>
          <w:rFonts w:asciiTheme="minorHAnsi" w:eastAsiaTheme="minorHAnsi" w:hAnsiTheme="minorHAnsi" w:cstheme="minorBidi"/>
          <w:lang w:val="es-ES" w:eastAsia="es-ES"/>
        </w:rPr>
        <w:t>(respuesta de voz interactiva)</w:t>
      </w:r>
      <w:r>
        <w:rPr>
          <w:rFonts w:asciiTheme="minorHAnsi" w:eastAsiaTheme="minorHAnsi" w:hAnsiTheme="minorHAnsi" w:cstheme="minorBidi"/>
          <w:lang w:val="es-ES" w:eastAsia="es-ES"/>
        </w:rPr>
        <w:t xml:space="preserve"> son</w:t>
      </w:r>
      <w:r w:rsidR="008F37B2">
        <w:rPr>
          <w:rFonts w:asciiTheme="minorHAnsi" w:eastAsiaTheme="minorHAnsi" w:hAnsiTheme="minorHAnsi" w:cstheme="minorBidi"/>
          <w:lang w:val="es-ES" w:eastAsia="es-ES"/>
        </w:rPr>
        <w:t xml:space="preserve"> capaces de completar procesos </w:t>
      </w:r>
      <w:r w:rsidR="00512A2F">
        <w:rPr>
          <w:rFonts w:asciiTheme="minorHAnsi" w:eastAsiaTheme="minorHAnsi" w:hAnsiTheme="minorHAnsi" w:cstheme="minorBidi"/>
          <w:lang w:val="es-ES" w:eastAsia="es-ES"/>
        </w:rPr>
        <w:t>enteros</w:t>
      </w:r>
      <w:r w:rsidR="008F37B2">
        <w:rPr>
          <w:rFonts w:asciiTheme="minorHAnsi" w:eastAsiaTheme="minorHAnsi" w:hAnsiTheme="minorHAnsi" w:cstheme="minorBidi"/>
          <w:lang w:val="es-ES" w:eastAsia="es-ES"/>
        </w:rPr>
        <w:t xml:space="preserve"> sin intervención humana</w:t>
      </w:r>
      <w:r w:rsidR="00C460E0">
        <w:rPr>
          <w:rFonts w:asciiTheme="minorHAnsi" w:eastAsiaTheme="minorHAnsi" w:hAnsiTheme="minorHAnsi" w:cstheme="minorBidi"/>
          <w:lang w:val="es-ES" w:eastAsia="es-ES"/>
        </w:rPr>
        <w:t>:</w:t>
      </w:r>
      <w:r w:rsidR="008F37B2">
        <w:rPr>
          <w:rFonts w:asciiTheme="minorHAnsi" w:eastAsiaTheme="minorHAnsi" w:hAnsiTheme="minorHAnsi" w:cstheme="minorBidi"/>
          <w:lang w:val="es-ES" w:eastAsia="es-ES"/>
        </w:rPr>
        <w:t xml:space="preserve"> a través de opciones </w:t>
      </w:r>
      <w:r w:rsidR="00681976">
        <w:rPr>
          <w:rFonts w:asciiTheme="minorHAnsi" w:eastAsiaTheme="minorHAnsi" w:hAnsiTheme="minorHAnsi" w:cstheme="minorBidi"/>
          <w:lang w:val="es-ES" w:eastAsia="es-ES"/>
        </w:rPr>
        <w:t xml:space="preserve">de comandos de voz </w:t>
      </w:r>
      <w:r w:rsidR="008F37B2">
        <w:rPr>
          <w:rFonts w:asciiTheme="minorHAnsi" w:eastAsiaTheme="minorHAnsi" w:hAnsiTheme="minorHAnsi" w:cstheme="minorBidi"/>
          <w:lang w:val="es-ES" w:eastAsia="es-ES"/>
        </w:rPr>
        <w:t>preestablecid</w:t>
      </w:r>
      <w:r w:rsidR="00681976">
        <w:rPr>
          <w:rFonts w:asciiTheme="minorHAnsi" w:eastAsiaTheme="minorHAnsi" w:hAnsiTheme="minorHAnsi" w:cstheme="minorBidi"/>
          <w:lang w:val="es-ES" w:eastAsia="es-ES"/>
        </w:rPr>
        <w:t>o</w:t>
      </w:r>
      <w:r w:rsidR="008F37B2">
        <w:rPr>
          <w:rFonts w:asciiTheme="minorHAnsi" w:eastAsiaTheme="minorHAnsi" w:hAnsiTheme="minorHAnsi" w:cstheme="minorBidi"/>
          <w:lang w:val="es-ES" w:eastAsia="es-ES"/>
        </w:rPr>
        <w:t>s, un cliente puede pagar una factura y recibir su comprobante automáticamente por la vía qué elija</w:t>
      </w:r>
      <w:r w:rsidR="00512A2F">
        <w:rPr>
          <w:rFonts w:asciiTheme="minorHAnsi" w:eastAsiaTheme="minorHAnsi" w:hAnsiTheme="minorHAnsi" w:cstheme="minorBidi"/>
          <w:lang w:val="es-ES" w:eastAsia="es-ES"/>
        </w:rPr>
        <w:t>, ya sea e-mail o WhatsApp</w:t>
      </w:r>
      <w:r w:rsidR="008F37B2">
        <w:rPr>
          <w:rFonts w:asciiTheme="minorHAnsi" w:eastAsiaTheme="minorHAnsi" w:hAnsiTheme="minorHAnsi" w:cstheme="minorBidi"/>
          <w:lang w:val="es-ES" w:eastAsia="es-ES"/>
        </w:rPr>
        <w:t xml:space="preserve">, esta tecnología </w:t>
      </w:r>
      <w:r w:rsidR="00681976">
        <w:rPr>
          <w:rFonts w:asciiTheme="minorHAnsi" w:eastAsiaTheme="minorHAnsi" w:hAnsiTheme="minorHAnsi" w:cstheme="minorBidi"/>
          <w:lang w:val="es-ES" w:eastAsia="es-ES"/>
        </w:rPr>
        <w:t xml:space="preserve">lo </w:t>
      </w:r>
      <w:r w:rsidR="008F37B2">
        <w:rPr>
          <w:rFonts w:asciiTheme="minorHAnsi" w:eastAsiaTheme="minorHAnsi" w:hAnsiTheme="minorHAnsi" w:cstheme="minorBidi"/>
          <w:lang w:val="es-ES" w:eastAsia="es-ES"/>
        </w:rPr>
        <w:t>comprenderá.</w:t>
      </w:r>
      <w:r w:rsidR="00A05B08">
        <w:rPr>
          <w:rFonts w:asciiTheme="minorHAnsi" w:eastAsiaTheme="minorHAnsi" w:hAnsiTheme="minorHAnsi" w:cstheme="minorBidi"/>
          <w:lang w:val="es-ES" w:eastAsia="es-ES"/>
        </w:rPr>
        <w:t xml:space="preserve"> En todo momento un asesor humano podrá hacerse cargo de una solicitud en caso de que el requerimiento sea demasiado complejo para la herramienta.</w:t>
      </w:r>
    </w:p>
    <w:p w14:paraId="6A26CD80" w14:textId="77777777" w:rsidR="002637CC" w:rsidRDefault="002637CC" w:rsidP="00027E94">
      <w:pPr>
        <w:jc w:val="both"/>
        <w:rPr>
          <w:rFonts w:asciiTheme="minorHAnsi" w:eastAsiaTheme="minorHAnsi" w:hAnsiTheme="minorHAnsi" w:cstheme="minorBidi"/>
          <w:lang w:val="es-ES" w:eastAsia="es-ES"/>
        </w:rPr>
      </w:pPr>
    </w:p>
    <w:p w14:paraId="6DA691D2" w14:textId="77777777" w:rsidR="00FF223C" w:rsidRDefault="00FF223C" w:rsidP="00027E9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 xml:space="preserve">Los beneficios </w:t>
      </w:r>
      <w:r w:rsidR="00512A2F">
        <w:rPr>
          <w:rFonts w:asciiTheme="minorHAnsi" w:eastAsiaTheme="minorHAnsi" w:hAnsiTheme="minorHAnsi" w:cstheme="minorBidi"/>
          <w:lang w:val="es-ES" w:eastAsia="es-ES"/>
        </w:rPr>
        <w:t>de</w:t>
      </w:r>
      <w:r>
        <w:rPr>
          <w:rFonts w:asciiTheme="minorHAnsi" w:eastAsiaTheme="minorHAnsi" w:hAnsiTheme="minorHAnsi" w:cstheme="minorBidi"/>
          <w:lang w:val="es-ES" w:eastAsia="es-ES"/>
        </w:rPr>
        <w:t xml:space="preserve"> apostar por soluciones IA son amplios. </w:t>
      </w:r>
      <w:r w:rsidR="00424998">
        <w:rPr>
          <w:rFonts w:asciiTheme="minorHAnsi" w:eastAsiaTheme="minorHAnsi" w:hAnsiTheme="minorHAnsi" w:cstheme="minorBidi"/>
          <w:lang w:val="es-ES" w:eastAsia="es-ES"/>
        </w:rPr>
        <w:t>P</w:t>
      </w:r>
      <w:r>
        <w:rPr>
          <w:rFonts w:asciiTheme="minorHAnsi" w:eastAsiaTheme="minorHAnsi" w:hAnsiTheme="minorHAnsi" w:cstheme="minorBidi"/>
          <w:lang w:val="es-ES" w:eastAsia="es-ES"/>
        </w:rPr>
        <w:t xml:space="preserve">ueden atender </w:t>
      </w:r>
      <w:r w:rsidR="00424998">
        <w:rPr>
          <w:rFonts w:asciiTheme="minorHAnsi" w:eastAsiaTheme="minorHAnsi" w:hAnsiTheme="minorHAnsi" w:cstheme="minorBidi"/>
          <w:lang w:val="es-ES" w:eastAsia="es-ES"/>
        </w:rPr>
        <w:t>incrementos de hasta 70%</w:t>
      </w:r>
      <w:r>
        <w:rPr>
          <w:rFonts w:asciiTheme="minorHAnsi" w:eastAsiaTheme="minorHAnsi" w:hAnsiTheme="minorHAnsi" w:cstheme="minorBidi"/>
          <w:lang w:val="es-ES" w:eastAsia="es-ES"/>
        </w:rPr>
        <w:t xml:space="preserve"> </w:t>
      </w:r>
      <w:r w:rsidR="00424998">
        <w:rPr>
          <w:rFonts w:asciiTheme="minorHAnsi" w:eastAsiaTheme="minorHAnsi" w:hAnsiTheme="minorHAnsi" w:cstheme="minorBidi"/>
          <w:lang w:val="es-ES" w:eastAsia="es-ES"/>
        </w:rPr>
        <w:t>más solicitudes de los clientes, dependiendo de la operación</w:t>
      </w:r>
      <w:r>
        <w:rPr>
          <w:rFonts w:asciiTheme="minorHAnsi" w:eastAsiaTheme="minorHAnsi" w:hAnsiTheme="minorHAnsi" w:cstheme="minorBidi"/>
          <w:lang w:val="es-ES" w:eastAsia="es-ES"/>
        </w:rPr>
        <w:t>. Mientras que implementar automatizaciones RPA reduce 15% los costos operativos en etapas tempranas y hasta 30% cuando ya se ha</w:t>
      </w:r>
      <w:r w:rsidR="00424998">
        <w:rPr>
          <w:rFonts w:asciiTheme="minorHAnsi" w:eastAsiaTheme="minorHAnsi" w:hAnsiTheme="minorHAnsi" w:cstheme="minorBidi"/>
          <w:lang w:val="es-ES" w:eastAsia="es-ES"/>
        </w:rPr>
        <w:t>n</w:t>
      </w:r>
      <w:r>
        <w:rPr>
          <w:rFonts w:asciiTheme="minorHAnsi" w:eastAsiaTheme="minorHAnsi" w:hAnsiTheme="minorHAnsi" w:cstheme="minorBidi"/>
          <w:lang w:val="es-ES" w:eastAsia="es-ES"/>
        </w:rPr>
        <w:t xml:space="preserve"> establecido completamente. Por otro lado, los tiempos de respuesta se reducen drásticamente, en chats pasan de 3 minutos con métodos tradicionales a sólo 3 segundos</w:t>
      </w:r>
      <w:r w:rsidR="00F03039">
        <w:rPr>
          <w:rFonts w:asciiTheme="minorHAnsi" w:eastAsiaTheme="minorHAnsi" w:hAnsiTheme="minorHAnsi" w:cstheme="minorBidi"/>
          <w:lang w:val="es-ES" w:eastAsia="es-ES"/>
        </w:rPr>
        <w:t xml:space="preserve">, en promedio, </w:t>
      </w:r>
      <w:r w:rsidR="00424998">
        <w:rPr>
          <w:rFonts w:asciiTheme="minorHAnsi" w:eastAsiaTheme="minorHAnsi" w:hAnsiTheme="minorHAnsi" w:cstheme="minorBidi"/>
          <w:lang w:val="es-ES" w:eastAsia="es-ES"/>
        </w:rPr>
        <w:t>al adoptar</w:t>
      </w:r>
      <w:r>
        <w:rPr>
          <w:rFonts w:asciiTheme="minorHAnsi" w:eastAsiaTheme="minorHAnsi" w:hAnsiTheme="minorHAnsi" w:cstheme="minorBidi"/>
          <w:lang w:val="es-ES" w:eastAsia="es-ES"/>
        </w:rPr>
        <w:t xml:space="preserve"> chatbots.</w:t>
      </w:r>
    </w:p>
    <w:p w14:paraId="2A351BD4" w14:textId="77777777" w:rsidR="00681976" w:rsidRDefault="00681976" w:rsidP="00027E94">
      <w:pPr>
        <w:jc w:val="both"/>
        <w:rPr>
          <w:rFonts w:asciiTheme="minorHAnsi" w:eastAsiaTheme="minorHAnsi" w:hAnsiTheme="minorHAnsi" w:cstheme="minorBidi"/>
          <w:lang w:val="es-ES" w:eastAsia="es-ES"/>
        </w:rPr>
      </w:pPr>
    </w:p>
    <w:p w14:paraId="52795547" w14:textId="77777777" w:rsidR="00693D1F" w:rsidRDefault="00A47521" w:rsidP="00027E9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w:t>
      </w:r>
      <w:r w:rsidR="00693D1F" w:rsidRPr="003A2424">
        <w:rPr>
          <w:rFonts w:asciiTheme="minorHAnsi" w:eastAsiaTheme="minorHAnsi" w:hAnsiTheme="minorHAnsi" w:cstheme="minorBidi"/>
          <w:lang w:val="es-ES" w:eastAsia="es-ES"/>
        </w:rPr>
        <w:t xml:space="preserve">La IA </w:t>
      </w:r>
      <w:r w:rsidRPr="003A2424">
        <w:rPr>
          <w:rFonts w:asciiTheme="minorHAnsi" w:eastAsiaTheme="minorHAnsi" w:hAnsiTheme="minorHAnsi" w:cstheme="minorBidi"/>
          <w:lang w:val="es-ES" w:eastAsia="es-ES"/>
        </w:rPr>
        <w:t>n</w:t>
      </w:r>
      <w:r w:rsidR="00B15699" w:rsidRPr="003A2424">
        <w:rPr>
          <w:rFonts w:asciiTheme="minorHAnsi" w:eastAsiaTheme="minorHAnsi" w:hAnsiTheme="minorHAnsi" w:cstheme="minorBidi"/>
          <w:lang w:val="es-ES" w:eastAsia="es-ES"/>
        </w:rPr>
        <w:t>o puede sustituir a los agentes</w:t>
      </w:r>
      <w:r w:rsidR="003822EB" w:rsidRPr="003A2424">
        <w:rPr>
          <w:rFonts w:asciiTheme="minorHAnsi" w:eastAsiaTheme="minorHAnsi" w:hAnsiTheme="minorHAnsi" w:cstheme="minorBidi"/>
          <w:lang w:val="es-ES" w:eastAsia="es-ES"/>
        </w:rPr>
        <w:t xml:space="preserve">, ya que son indispensables para aportar el entendimiento y cercanía </w:t>
      </w:r>
      <w:r w:rsidR="00B15699" w:rsidRPr="003A2424">
        <w:rPr>
          <w:rFonts w:asciiTheme="minorHAnsi" w:eastAsiaTheme="minorHAnsi" w:hAnsiTheme="minorHAnsi" w:cstheme="minorBidi"/>
          <w:lang w:val="es-ES" w:eastAsia="es-ES"/>
        </w:rPr>
        <w:t>que garantizan</w:t>
      </w:r>
      <w:r w:rsidR="003822EB" w:rsidRPr="003A2424">
        <w:rPr>
          <w:rFonts w:asciiTheme="minorHAnsi" w:eastAsiaTheme="minorHAnsi" w:hAnsiTheme="minorHAnsi" w:cstheme="minorBidi"/>
          <w:lang w:val="es-ES" w:eastAsia="es-ES"/>
        </w:rPr>
        <w:t xml:space="preserve"> una excelente experiencia de cliente, pero </w:t>
      </w:r>
      <w:r w:rsidR="00B15699" w:rsidRPr="003A2424">
        <w:rPr>
          <w:rFonts w:asciiTheme="minorHAnsi" w:eastAsiaTheme="minorHAnsi" w:hAnsiTheme="minorHAnsi" w:cstheme="minorBidi"/>
          <w:lang w:val="es-ES" w:eastAsia="es-ES"/>
        </w:rPr>
        <w:t>si</w:t>
      </w:r>
      <w:r w:rsidR="003822EB" w:rsidRPr="003A2424">
        <w:rPr>
          <w:rFonts w:asciiTheme="minorHAnsi" w:eastAsiaTheme="minorHAnsi" w:hAnsiTheme="minorHAnsi" w:cstheme="minorBidi"/>
          <w:lang w:val="es-ES" w:eastAsia="es-ES"/>
        </w:rPr>
        <w:t xml:space="preserve"> les brinda un apoyo y soporte esencial para agilizar y optimizar esa experienc</w:t>
      </w:r>
      <w:r w:rsidR="00B15699" w:rsidRPr="003A2424">
        <w:rPr>
          <w:rFonts w:asciiTheme="minorHAnsi" w:eastAsiaTheme="minorHAnsi" w:hAnsiTheme="minorHAnsi" w:cstheme="minorBidi"/>
          <w:lang w:val="es-ES" w:eastAsia="es-ES"/>
        </w:rPr>
        <w:t xml:space="preserve">ia con la aportación de información y análisis </w:t>
      </w:r>
      <w:r w:rsidR="00A7385B" w:rsidRPr="003A2424">
        <w:rPr>
          <w:rFonts w:asciiTheme="minorHAnsi" w:eastAsiaTheme="minorHAnsi" w:hAnsiTheme="minorHAnsi" w:cstheme="minorBidi"/>
          <w:lang w:val="es-ES" w:eastAsia="es-ES"/>
        </w:rPr>
        <w:t>claves para ofrecer la respuesta o solución más apropiada</w:t>
      </w:r>
      <w:r w:rsidR="00693D1F">
        <w:rPr>
          <w:rFonts w:asciiTheme="minorHAnsi" w:eastAsiaTheme="minorHAnsi" w:hAnsiTheme="minorHAnsi" w:cstheme="minorBidi"/>
          <w:lang w:val="es-ES" w:eastAsia="es-ES"/>
        </w:rPr>
        <w:t xml:space="preserve">.”, </w:t>
      </w:r>
      <w:r w:rsidR="00A7385B">
        <w:rPr>
          <w:rFonts w:asciiTheme="minorHAnsi" w:eastAsiaTheme="minorHAnsi" w:hAnsiTheme="minorHAnsi" w:cstheme="minorBidi"/>
          <w:lang w:val="es-ES" w:eastAsia="es-ES"/>
        </w:rPr>
        <w:t>explica</w:t>
      </w:r>
      <w:r w:rsidR="00693D1F">
        <w:rPr>
          <w:rFonts w:asciiTheme="minorHAnsi" w:eastAsiaTheme="minorHAnsi" w:hAnsiTheme="minorHAnsi" w:cstheme="minorBidi"/>
          <w:lang w:val="es-ES" w:eastAsia="es-ES"/>
        </w:rPr>
        <w:t xml:space="preserve"> </w:t>
      </w:r>
      <w:r w:rsidR="00DB6E1E" w:rsidRPr="00DB6E1E">
        <w:rPr>
          <w:rFonts w:asciiTheme="minorHAnsi" w:eastAsiaTheme="minorHAnsi" w:hAnsiTheme="minorHAnsi" w:cstheme="minorBidi"/>
          <w:lang w:val="es-ES" w:eastAsia="es-ES"/>
        </w:rPr>
        <w:t xml:space="preserve">Miguel Ángel Treviño Magallanes, Gerente Sr. </w:t>
      </w:r>
      <w:r w:rsidR="000C018E">
        <w:rPr>
          <w:rFonts w:asciiTheme="minorHAnsi" w:eastAsiaTheme="minorHAnsi" w:hAnsiTheme="minorHAnsi" w:cstheme="minorBidi"/>
          <w:lang w:val="es-ES" w:eastAsia="es-ES"/>
        </w:rPr>
        <w:t>d</w:t>
      </w:r>
      <w:r w:rsidR="00DB6E1E" w:rsidRPr="00DB6E1E">
        <w:rPr>
          <w:rFonts w:asciiTheme="minorHAnsi" w:eastAsiaTheme="minorHAnsi" w:hAnsiTheme="minorHAnsi" w:cstheme="minorBidi"/>
          <w:lang w:val="es-ES" w:eastAsia="es-ES"/>
        </w:rPr>
        <w:t>e Soluciones</w:t>
      </w:r>
      <w:r w:rsidR="00BF26E4">
        <w:rPr>
          <w:rFonts w:asciiTheme="minorHAnsi" w:eastAsiaTheme="minorHAnsi" w:hAnsiTheme="minorHAnsi" w:cstheme="minorBidi"/>
          <w:lang w:val="es-ES" w:eastAsia="es-ES"/>
        </w:rPr>
        <w:t xml:space="preserve"> en Atento</w:t>
      </w:r>
      <w:r w:rsidR="00693D1F">
        <w:rPr>
          <w:rFonts w:asciiTheme="minorHAnsi" w:eastAsiaTheme="minorHAnsi" w:hAnsiTheme="minorHAnsi" w:cstheme="minorBidi"/>
          <w:lang w:val="es-ES" w:eastAsia="es-ES"/>
        </w:rPr>
        <w:t xml:space="preserve">. </w:t>
      </w:r>
    </w:p>
    <w:p w14:paraId="13C966A7" w14:textId="77777777" w:rsidR="00693D1F" w:rsidRDefault="00693D1F" w:rsidP="00027E94">
      <w:pPr>
        <w:jc w:val="both"/>
        <w:rPr>
          <w:rFonts w:asciiTheme="minorHAnsi" w:eastAsiaTheme="minorHAnsi" w:hAnsiTheme="minorHAnsi" w:cstheme="minorBidi"/>
          <w:lang w:val="es-ES" w:eastAsia="es-ES"/>
        </w:rPr>
      </w:pPr>
    </w:p>
    <w:p w14:paraId="3073D0B0" w14:textId="77777777" w:rsidR="00681976" w:rsidRDefault="00693D1F" w:rsidP="00027E9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“Lo mejor es aprovechar las ventajas humanas y tecnológicas para el beneficio del cliente, los resultados son evidentes en prácticas como el soporte técnico, en las que el agente humano se encarga de la interacción con el cliente, mientras soluciones tecnológicas inteligentes</w:t>
      </w:r>
      <w:r w:rsidR="00625302">
        <w:rPr>
          <w:rFonts w:asciiTheme="minorHAnsi" w:eastAsiaTheme="minorHAnsi" w:hAnsiTheme="minorHAnsi" w:cstheme="minorBidi"/>
          <w:lang w:val="es-ES" w:eastAsia="es-ES"/>
        </w:rPr>
        <w:t xml:space="preserve"> revisan en el sistema cuál es el estatus del servicio </w:t>
      </w:r>
      <w:r w:rsidR="00BF26E4">
        <w:rPr>
          <w:rFonts w:asciiTheme="minorHAnsi" w:eastAsiaTheme="minorHAnsi" w:hAnsiTheme="minorHAnsi" w:cstheme="minorBidi"/>
          <w:lang w:val="es-ES" w:eastAsia="es-ES"/>
        </w:rPr>
        <w:t>como,</w:t>
      </w:r>
      <w:r w:rsidR="00625302">
        <w:rPr>
          <w:rFonts w:asciiTheme="minorHAnsi" w:eastAsiaTheme="minorHAnsi" w:hAnsiTheme="minorHAnsi" w:cstheme="minorBidi"/>
          <w:lang w:val="es-ES" w:eastAsia="es-ES"/>
        </w:rPr>
        <w:t xml:space="preserve"> por ejemplo, la conexión a internet en un domicilio</w:t>
      </w:r>
      <w:r>
        <w:rPr>
          <w:rFonts w:asciiTheme="minorHAnsi" w:eastAsiaTheme="minorHAnsi" w:hAnsiTheme="minorHAnsi" w:cstheme="minorBidi"/>
          <w:lang w:val="es-ES" w:eastAsia="es-ES"/>
        </w:rPr>
        <w:t xml:space="preserve">, lo cual nos permite reducir los tiempos de atención de 10 a sólo 3 minutos, en promedio”, añadió </w:t>
      </w:r>
      <w:r w:rsidR="00BF26E4">
        <w:rPr>
          <w:rFonts w:asciiTheme="minorHAnsi" w:eastAsiaTheme="minorHAnsi" w:hAnsiTheme="minorHAnsi" w:cstheme="minorBidi"/>
          <w:lang w:val="es-ES" w:eastAsia="es-ES"/>
        </w:rPr>
        <w:t>Treviño</w:t>
      </w:r>
      <w:r>
        <w:rPr>
          <w:rFonts w:asciiTheme="minorHAnsi" w:eastAsiaTheme="minorHAnsi" w:hAnsiTheme="minorHAnsi" w:cstheme="minorBidi"/>
          <w:lang w:val="es-ES" w:eastAsia="es-ES"/>
        </w:rPr>
        <w:t>.</w:t>
      </w:r>
    </w:p>
    <w:p w14:paraId="6619B65E" w14:textId="77777777" w:rsidR="00424998" w:rsidRDefault="00424998" w:rsidP="00027E94">
      <w:pPr>
        <w:jc w:val="both"/>
        <w:rPr>
          <w:rFonts w:asciiTheme="minorHAnsi" w:eastAsiaTheme="minorHAnsi" w:hAnsiTheme="minorHAnsi" w:cstheme="minorBidi"/>
          <w:lang w:val="es-ES" w:eastAsia="es-ES"/>
        </w:rPr>
      </w:pPr>
    </w:p>
    <w:p w14:paraId="03762A77" w14:textId="77777777" w:rsidR="00424998" w:rsidRDefault="00693D1F" w:rsidP="00027E9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 xml:space="preserve">El análisis de Atento señala que actualmente las soluciones IA </w:t>
      </w:r>
      <w:r w:rsidR="004A6937">
        <w:rPr>
          <w:rFonts w:asciiTheme="minorHAnsi" w:eastAsiaTheme="minorHAnsi" w:hAnsiTheme="minorHAnsi" w:cstheme="minorBidi"/>
          <w:lang w:val="es-ES" w:eastAsia="es-ES"/>
        </w:rPr>
        <w:t>agregan valor al desempeño de</w:t>
      </w:r>
      <w:r w:rsidR="00FC4B09">
        <w:rPr>
          <w:rFonts w:asciiTheme="minorHAnsi" w:eastAsiaTheme="minorHAnsi" w:hAnsiTheme="minorHAnsi" w:cstheme="minorBidi"/>
          <w:lang w:val="es-ES" w:eastAsia="es-ES"/>
        </w:rPr>
        <w:t xml:space="preserve"> </w:t>
      </w:r>
      <w:r>
        <w:rPr>
          <w:rFonts w:asciiTheme="minorHAnsi" w:eastAsiaTheme="minorHAnsi" w:hAnsiTheme="minorHAnsi" w:cstheme="minorBidi"/>
          <w:lang w:val="es-ES" w:eastAsia="es-ES"/>
        </w:rPr>
        <w:t xml:space="preserve">los </w:t>
      </w:r>
      <w:r w:rsidR="00A7385B">
        <w:rPr>
          <w:rFonts w:asciiTheme="minorHAnsi" w:eastAsiaTheme="minorHAnsi" w:hAnsiTheme="minorHAnsi" w:cstheme="minorBidi"/>
          <w:lang w:val="es-ES" w:eastAsia="es-ES"/>
        </w:rPr>
        <w:t>humanos</w:t>
      </w:r>
      <w:r>
        <w:rPr>
          <w:rFonts w:asciiTheme="minorHAnsi" w:eastAsiaTheme="minorHAnsi" w:hAnsiTheme="minorHAnsi" w:cstheme="minorBidi"/>
          <w:lang w:val="es-ES" w:eastAsia="es-ES"/>
        </w:rPr>
        <w:t xml:space="preserve">, </w:t>
      </w:r>
      <w:r w:rsidR="00634A92">
        <w:rPr>
          <w:rFonts w:asciiTheme="minorHAnsi" w:eastAsiaTheme="minorHAnsi" w:hAnsiTheme="minorHAnsi" w:cstheme="minorBidi"/>
          <w:lang w:val="es-ES" w:eastAsia="es-ES"/>
        </w:rPr>
        <w:t xml:space="preserve">y permiten </w:t>
      </w:r>
      <w:r>
        <w:rPr>
          <w:rFonts w:asciiTheme="minorHAnsi" w:eastAsiaTheme="minorHAnsi" w:hAnsiTheme="minorHAnsi" w:cstheme="minorBidi"/>
          <w:lang w:val="es-ES" w:eastAsia="es-ES"/>
        </w:rPr>
        <w:t>canalizar las habilidades de las personas en tareas más estratégicas para el negocio, como monitoreo, análisis de calidad</w:t>
      </w:r>
      <w:r w:rsidR="00512A2F">
        <w:rPr>
          <w:rFonts w:asciiTheme="minorHAnsi" w:eastAsiaTheme="minorHAnsi" w:hAnsiTheme="minorHAnsi" w:cstheme="minorBidi"/>
          <w:lang w:val="es-ES" w:eastAsia="es-ES"/>
        </w:rPr>
        <w:t xml:space="preserve"> o creación de estrategias de atención, puesto que los colaboradores se vuelven expertos en los procesos.</w:t>
      </w:r>
    </w:p>
    <w:p w14:paraId="6747C370" w14:textId="77777777" w:rsidR="00512A2F" w:rsidRDefault="00512A2F" w:rsidP="00027E94">
      <w:pPr>
        <w:jc w:val="both"/>
        <w:rPr>
          <w:rFonts w:asciiTheme="minorHAnsi" w:eastAsiaTheme="minorHAnsi" w:hAnsiTheme="minorHAnsi" w:cstheme="minorBidi"/>
          <w:lang w:val="es-ES" w:eastAsia="es-ES"/>
        </w:rPr>
      </w:pPr>
    </w:p>
    <w:p w14:paraId="47217FF8" w14:textId="77777777" w:rsidR="00FF223C" w:rsidRDefault="00FF223C" w:rsidP="00027E94">
      <w:pPr>
        <w:jc w:val="both"/>
        <w:rPr>
          <w:rFonts w:asciiTheme="minorHAnsi" w:eastAsiaTheme="minorHAnsi" w:hAnsiTheme="minorHAnsi" w:cstheme="minorBidi"/>
          <w:lang w:val="es-ES" w:eastAsia="es-ES"/>
        </w:rPr>
      </w:pPr>
    </w:p>
    <w:p w14:paraId="6B373697" w14:textId="77777777" w:rsidR="00F23C45" w:rsidRDefault="00FF223C" w:rsidP="00027E94">
      <w:pPr>
        <w:jc w:val="both"/>
        <w:rPr>
          <w:rFonts w:asciiTheme="minorHAnsi" w:eastAsiaTheme="minorHAnsi" w:hAnsiTheme="minorHAnsi" w:cstheme="minorBidi"/>
          <w:lang w:val="es-ES" w:eastAsia="es-ES"/>
        </w:rPr>
      </w:pPr>
      <w:r>
        <w:rPr>
          <w:rFonts w:asciiTheme="minorHAnsi" w:eastAsiaTheme="minorHAnsi" w:hAnsiTheme="minorHAnsi" w:cstheme="minorBidi"/>
          <w:lang w:val="es-ES" w:eastAsia="es-ES"/>
        </w:rPr>
        <w:t xml:space="preserve"> </w:t>
      </w:r>
    </w:p>
    <w:p w14:paraId="7AAE04BF" w14:textId="4242CF74" w:rsidR="00F947E1" w:rsidRPr="00D010A7" w:rsidRDefault="00F12F9F" w:rsidP="00D010A7">
      <w:pPr>
        <w:jc w:val="center"/>
        <w:rPr>
          <w:rFonts w:asciiTheme="minorHAnsi" w:eastAsiaTheme="minorHAnsi" w:hAnsiTheme="minorHAnsi" w:cstheme="minorBidi"/>
          <w:b/>
          <w:bCs/>
          <w:lang w:val="es-ES" w:eastAsia="es-ES"/>
        </w:rPr>
      </w:pPr>
      <w:r w:rsidRPr="00F12F9F">
        <w:rPr>
          <w:rFonts w:asciiTheme="minorHAnsi" w:eastAsiaTheme="minorHAnsi" w:hAnsiTheme="minorHAnsi" w:cstheme="minorBidi"/>
          <w:b/>
          <w:bCs/>
          <w:lang w:val="es-ES" w:eastAsia="es-ES"/>
        </w:rPr>
        <w:t>---</w:t>
      </w:r>
    </w:p>
    <w:p w14:paraId="00F91085" w14:textId="77777777" w:rsidR="009C0C8E" w:rsidRPr="002D41E3" w:rsidRDefault="003073FE" w:rsidP="009C0C8E">
      <w:pPr>
        <w:pStyle w:val="NormalWeb"/>
        <w:shd w:val="clear" w:color="auto" w:fill="FFFFFF"/>
        <w:spacing w:before="0" w:beforeAutospacing="0"/>
        <w:jc w:val="both"/>
        <w:rPr>
          <w:rFonts w:ascii="Calibri" w:hAnsi="Calibri" w:cs="Calibri"/>
          <w:color w:val="1F4E79" w:themeColor="accent1" w:themeShade="80"/>
          <w:sz w:val="16"/>
          <w:szCs w:val="16"/>
        </w:rPr>
      </w:pPr>
      <w:r w:rsidRPr="002D41E3">
        <w:rPr>
          <w:rStyle w:val="Textoennegrita"/>
          <w:rFonts w:ascii="Calibri" w:hAnsi="Calibri" w:cs="Calibri"/>
          <w:color w:val="1F4E79" w:themeColor="accent1" w:themeShade="80"/>
          <w:sz w:val="16"/>
          <w:szCs w:val="16"/>
        </w:rPr>
        <w:t>Sobre Atento</w:t>
      </w:r>
    </w:p>
    <w:p w14:paraId="6DFB7EFA" w14:textId="77777777" w:rsidR="003073FE" w:rsidRPr="00F12F9F" w:rsidRDefault="003073FE" w:rsidP="009C0C8E">
      <w:pPr>
        <w:pStyle w:val="NormalWeb"/>
        <w:shd w:val="clear" w:color="auto" w:fill="FFFFFF"/>
        <w:spacing w:before="0" w:beforeAutospacing="0"/>
        <w:jc w:val="both"/>
        <w:rPr>
          <w:rFonts w:ascii="Calibri" w:hAnsi="Calibri" w:cs="Calibri"/>
          <w:color w:val="303030"/>
          <w:sz w:val="16"/>
          <w:szCs w:val="16"/>
        </w:rPr>
      </w:pPr>
      <w:r w:rsidRPr="00F12F9F">
        <w:rPr>
          <w:rFonts w:ascii="Calibri" w:hAnsi="Calibri" w:cs="Calibri"/>
          <w:color w:val="303030"/>
          <w:sz w:val="16"/>
          <w:szCs w:val="16"/>
        </w:rPr>
        <w:t xml:space="preserve">Atento es uno de los cinco mayores proveedores a nivel mundial de servicios de gestión de las relaciones con clientes y externalización de procesos de negocio (CRM/BPO) y líder en Latinoamérica. Atento es también un proveedor líder de servicios CRM/BPO </w:t>
      </w:r>
      <w:proofErr w:type="spellStart"/>
      <w:r w:rsidRPr="00F12F9F">
        <w:rPr>
          <w:rFonts w:ascii="Calibri" w:hAnsi="Calibri" w:cs="Calibri"/>
          <w:color w:val="303030"/>
          <w:sz w:val="16"/>
          <w:szCs w:val="16"/>
        </w:rPr>
        <w:t>nearshoring</w:t>
      </w:r>
      <w:proofErr w:type="spellEnd"/>
      <w:r w:rsidRPr="00F12F9F">
        <w:rPr>
          <w:rFonts w:ascii="Calibri" w:hAnsi="Calibri" w:cs="Calibri"/>
          <w:color w:val="303030"/>
          <w:sz w:val="16"/>
          <w:szCs w:val="16"/>
        </w:rPr>
        <w:t xml:space="preserve"> para compañías que desarrollan su actividad en Estados Unidos. Desde 1999, la sociedad ha desarrollado su modelo de negocio en 13 países y cuenta con presencia en España y una plantilla de 150.000 empleados. Atento cuenta con más de 400 clientes a los que presta una amplia gama de servicios CRM/BPO a través de múltiples canales. Sus clientes son empresas multinacionales líderes en sectores como la tecnología, las nuevas empresas digitales, las telecomunicaciones, las finanzas, la asistencia sanitaria, el consumo y la administración pública, entre otros. Las acciones de Atento cotizan bajo el símbolo ATTO en la Bolsa de Nueva York (New York Stock Exchange). En 2019, Atento fue reconocida por Great Place to </w:t>
      </w:r>
      <w:proofErr w:type="spellStart"/>
      <w:r w:rsidRPr="00F12F9F">
        <w:rPr>
          <w:rFonts w:ascii="Calibri" w:hAnsi="Calibri" w:cs="Calibri"/>
          <w:color w:val="303030"/>
          <w:sz w:val="16"/>
          <w:szCs w:val="16"/>
        </w:rPr>
        <w:t>Work</w:t>
      </w:r>
      <w:proofErr w:type="spellEnd"/>
      <w:r w:rsidRPr="00F12F9F">
        <w:rPr>
          <w:rFonts w:ascii="Calibri" w:hAnsi="Calibri" w:cs="Calibri"/>
          <w:color w:val="303030"/>
          <w:sz w:val="16"/>
          <w:szCs w:val="16"/>
        </w:rPr>
        <w:t>® como una de las 25 Mejores Multinacionales para Trabajar en el Mundo y como una de las 25 Mejores Multinacionales para trabajar en Latinoamérica. Para más información </w:t>
      </w:r>
      <w:hyperlink r:id="rId11" w:history="1">
        <w:r w:rsidRPr="00F12F9F">
          <w:rPr>
            <w:rStyle w:val="Hipervnculo"/>
            <w:rFonts w:ascii="Calibri" w:hAnsi="Calibri" w:cs="Calibri"/>
            <w:color w:val="007BFF"/>
            <w:sz w:val="16"/>
            <w:szCs w:val="16"/>
          </w:rPr>
          <w:t>www.atento.com</w:t>
        </w:r>
      </w:hyperlink>
    </w:p>
    <w:sectPr w:rsidR="003073FE" w:rsidRPr="00F12F9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B8E6" w14:textId="77777777" w:rsidR="00FC4D94" w:rsidRDefault="00FC4D94" w:rsidP="003073FE">
      <w:pPr>
        <w:spacing w:line="240" w:lineRule="auto"/>
      </w:pPr>
      <w:r>
        <w:separator/>
      </w:r>
    </w:p>
  </w:endnote>
  <w:endnote w:type="continuationSeparator" w:id="0">
    <w:p w14:paraId="3BD7E1A4" w14:textId="77777777" w:rsidR="00FC4D94" w:rsidRDefault="00FC4D94" w:rsidP="003073FE">
      <w:pPr>
        <w:spacing w:line="240" w:lineRule="auto"/>
      </w:pPr>
      <w:r>
        <w:continuationSeparator/>
      </w:r>
    </w:p>
  </w:endnote>
  <w:endnote w:id="1">
    <w:p w14:paraId="18CD1EBF" w14:textId="77777777" w:rsidR="00C03CAF" w:rsidRPr="00D010A7" w:rsidRDefault="00C03CAF" w:rsidP="00C03CAF">
      <w:pPr>
        <w:pStyle w:val="Textonotaalfinal"/>
        <w:rPr>
          <w:sz w:val="16"/>
          <w:szCs w:val="16"/>
        </w:rPr>
      </w:pPr>
      <w:r w:rsidRPr="00D010A7">
        <w:rPr>
          <w:rStyle w:val="Refdenotaalfinal"/>
          <w:sz w:val="16"/>
          <w:szCs w:val="16"/>
        </w:rPr>
        <w:endnoteRef/>
      </w:r>
      <w:r w:rsidRPr="00D010A7">
        <w:rPr>
          <w:sz w:val="16"/>
          <w:szCs w:val="16"/>
        </w:rPr>
        <w:t xml:space="preserve"> </w:t>
      </w:r>
      <w:hyperlink r:id="rId1" w:history="1">
        <w:r w:rsidRPr="00D010A7">
          <w:rPr>
            <w:rStyle w:val="Hipervnculo"/>
            <w:sz w:val="16"/>
            <w:szCs w:val="16"/>
          </w:rPr>
          <w:t>https://www.idc.com/getdoc.jsp?containerId=prUS47482321</w:t>
        </w:r>
      </w:hyperlink>
    </w:p>
    <w:p w14:paraId="10215124" w14:textId="77777777" w:rsidR="00C03CAF" w:rsidRPr="006E3137" w:rsidRDefault="00C03CAF" w:rsidP="00C03CAF">
      <w:pPr>
        <w:pStyle w:val="Textonotaalfinal"/>
        <w:rPr>
          <w:lang w:val="es-MX"/>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410D" w14:textId="77777777" w:rsidR="00FC4D94" w:rsidRDefault="00FC4D94" w:rsidP="003073FE">
      <w:pPr>
        <w:spacing w:line="240" w:lineRule="auto"/>
      </w:pPr>
      <w:r>
        <w:separator/>
      </w:r>
    </w:p>
  </w:footnote>
  <w:footnote w:type="continuationSeparator" w:id="0">
    <w:p w14:paraId="4D3A9FDD" w14:textId="77777777" w:rsidR="00FC4D94" w:rsidRDefault="00FC4D94" w:rsidP="00307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3077" w14:textId="77777777" w:rsidR="003073FE" w:rsidRDefault="003073FE">
    <w:pPr>
      <w:pStyle w:val="Encabezado"/>
    </w:pPr>
    <w:r w:rsidRPr="00672656">
      <w:rPr>
        <w:rFonts w:ascii="Calibri" w:hAnsi="Calibri"/>
        <w:noProof/>
        <w:lang w:val="es-ES" w:eastAsia="es-ES"/>
      </w:rPr>
      <w:drawing>
        <wp:anchor distT="0" distB="0" distL="114300" distR="114300" simplePos="0" relativeHeight="251659264" behindDoc="0" locked="0" layoutInCell="1" allowOverlap="1" wp14:anchorId="22002F3D" wp14:editId="7C20FE6A">
          <wp:simplePos x="0" y="0"/>
          <wp:positionH relativeFrom="column">
            <wp:posOffset>-787400</wp:posOffset>
          </wp:positionH>
          <wp:positionV relativeFrom="paragraph">
            <wp:posOffset>-260985</wp:posOffset>
          </wp:positionV>
          <wp:extent cx="1384300" cy="554974"/>
          <wp:effectExtent l="0" t="0" r="0" b="0"/>
          <wp:wrapThrough wrapText="bothSides">
            <wp:wrapPolygon edited="0">
              <wp:start x="4459" y="5196"/>
              <wp:lineTo x="2675" y="11876"/>
              <wp:lineTo x="2675" y="13361"/>
              <wp:lineTo x="5350" y="15588"/>
              <wp:lineTo x="17835" y="15588"/>
              <wp:lineTo x="19024" y="11134"/>
              <wp:lineTo x="17240" y="7423"/>
              <wp:lineTo x="10998" y="5196"/>
              <wp:lineTo x="4459" y="5196"/>
            </wp:wrapPolygon>
          </wp:wrapThrough>
          <wp:docPr id="1" name="Imagen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5497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3107"/>
    <w:multiLevelType w:val="hybridMultilevel"/>
    <w:tmpl w:val="32D6A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174B46"/>
    <w:multiLevelType w:val="hybridMultilevel"/>
    <w:tmpl w:val="71B6D2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E61A83"/>
    <w:multiLevelType w:val="hybridMultilevel"/>
    <w:tmpl w:val="733E9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6A62AE"/>
    <w:multiLevelType w:val="hybridMultilevel"/>
    <w:tmpl w:val="DE200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9A385B"/>
    <w:multiLevelType w:val="hybridMultilevel"/>
    <w:tmpl w:val="6DDE4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D276DC"/>
    <w:multiLevelType w:val="hybridMultilevel"/>
    <w:tmpl w:val="C8781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C21A75"/>
    <w:multiLevelType w:val="hybridMultilevel"/>
    <w:tmpl w:val="591017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16"/>
    <w:rsid w:val="00015739"/>
    <w:rsid w:val="00020BD2"/>
    <w:rsid w:val="000255CD"/>
    <w:rsid w:val="00027E94"/>
    <w:rsid w:val="00030B29"/>
    <w:rsid w:val="00032487"/>
    <w:rsid w:val="00041039"/>
    <w:rsid w:val="00046868"/>
    <w:rsid w:val="00070D10"/>
    <w:rsid w:val="00086785"/>
    <w:rsid w:val="00097C89"/>
    <w:rsid w:val="000A020C"/>
    <w:rsid w:val="000B544D"/>
    <w:rsid w:val="000C018E"/>
    <w:rsid w:val="000E1CAE"/>
    <w:rsid w:val="0010051F"/>
    <w:rsid w:val="0011541C"/>
    <w:rsid w:val="0012582E"/>
    <w:rsid w:val="00144E35"/>
    <w:rsid w:val="00150B2E"/>
    <w:rsid w:val="001871C1"/>
    <w:rsid w:val="001B1EB7"/>
    <w:rsid w:val="001C06FD"/>
    <w:rsid w:val="001D343D"/>
    <w:rsid w:val="00201C21"/>
    <w:rsid w:val="00216E7B"/>
    <w:rsid w:val="002219A5"/>
    <w:rsid w:val="00231494"/>
    <w:rsid w:val="00240723"/>
    <w:rsid w:val="00251216"/>
    <w:rsid w:val="00262F8F"/>
    <w:rsid w:val="002637CC"/>
    <w:rsid w:val="00273AEE"/>
    <w:rsid w:val="002B088D"/>
    <w:rsid w:val="002B29D4"/>
    <w:rsid w:val="002D089E"/>
    <w:rsid w:val="002D1E09"/>
    <w:rsid w:val="002D41E3"/>
    <w:rsid w:val="002D4244"/>
    <w:rsid w:val="002E7344"/>
    <w:rsid w:val="002F4051"/>
    <w:rsid w:val="003073FE"/>
    <w:rsid w:val="003116FE"/>
    <w:rsid w:val="003206E8"/>
    <w:rsid w:val="00332335"/>
    <w:rsid w:val="00360215"/>
    <w:rsid w:val="00364C19"/>
    <w:rsid w:val="003822EB"/>
    <w:rsid w:val="003A2424"/>
    <w:rsid w:val="003A32B3"/>
    <w:rsid w:val="003B6798"/>
    <w:rsid w:val="003C364E"/>
    <w:rsid w:val="003C3A99"/>
    <w:rsid w:val="003F2C00"/>
    <w:rsid w:val="004145CB"/>
    <w:rsid w:val="00414893"/>
    <w:rsid w:val="00417024"/>
    <w:rsid w:val="00424998"/>
    <w:rsid w:val="00442026"/>
    <w:rsid w:val="0045789E"/>
    <w:rsid w:val="004739DE"/>
    <w:rsid w:val="004A6937"/>
    <w:rsid w:val="004A6AC6"/>
    <w:rsid w:val="004A7A19"/>
    <w:rsid w:val="004B2228"/>
    <w:rsid w:val="004D0F2F"/>
    <w:rsid w:val="004F3042"/>
    <w:rsid w:val="00500ADD"/>
    <w:rsid w:val="00502C4E"/>
    <w:rsid w:val="00511DAB"/>
    <w:rsid w:val="00512A2F"/>
    <w:rsid w:val="00522217"/>
    <w:rsid w:val="0053135E"/>
    <w:rsid w:val="00545C2F"/>
    <w:rsid w:val="005736A7"/>
    <w:rsid w:val="005B54F5"/>
    <w:rsid w:val="005C7FCA"/>
    <w:rsid w:val="005E0A2E"/>
    <w:rsid w:val="006078EC"/>
    <w:rsid w:val="00625302"/>
    <w:rsid w:val="006269C4"/>
    <w:rsid w:val="00633B55"/>
    <w:rsid w:val="00634A92"/>
    <w:rsid w:val="006354A4"/>
    <w:rsid w:val="0063550C"/>
    <w:rsid w:val="006419FE"/>
    <w:rsid w:val="0065190A"/>
    <w:rsid w:val="00654620"/>
    <w:rsid w:val="006674A5"/>
    <w:rsid w:val="00670CCB"/>
    <w:rsid w:val="00681976"/>
    <w:rsid w:val="00681A4C"/>
    <w:rsid w:val="00693D1F"/>
    <w:rsid w:val="006B56D2"/>
    <w:rsid w:val="006C654F"/>
    <w:rsid w:val="006C6688"/>
    <w:rsid w:val="006E3137"/>
    <w:rsid w:val="006E61C8"/>
    <w:rsid w:val="006F70DF"/>
    <w:rsid w:val="00712C8A"/>
    <w:rsid w:val="0072542C"/>
    <w:rsid w:val="007331CE"/>
    <w:rsid w:val="00736C59"/>
    <w:rsid w:val="00767AE0"/>
    <w:rsid w:val="007717D5"/>
    <w:rsid w:val="00777C17"/>
    <w:rsid w:val="00781CB9"/>
    <w:rsid w:val="007A50ED"/>
    <w:rsid w:val="007A613B"/>
    <w:rsid w:val="007D57D4"/>
    <w:rsid w:val="007E3911"/>
    <w:rsid w:val="007E46FE"/>
    <w:rsid w:val="007F661D"/>
    <w:rsid w:val="00804E13"/>
    <w:rsid w:val="008441DD"/>
    <w:rsid w:val="00852C9C"/>
    <w:rsid w:val="0085377B"/>
    <w:rsid w:val="00855CFF"/>
    <w:rsid w:val="00857978"/>
    <w:rsid w:val="008736D6"/>
    <w:rsid w:val="008768EB"/>
    <w:rsid w:val="008831B0"/>
    <w:rsid w:val="008A337C"/>
    <w:rsid w:val="008C1D20"/>
    <w:rsid w:val="008F0B3E"/>
    <w:rsid w:val="008F37B2"/>
    <w:rsid w:val="008F4084"/>
    <w:rsid w:val="009310F3"/>
    <w:rsid w:val="00940DE5"/>
    <w:rsid w:val="00951095"/>
    <w:rsid w:val="00966702"/>
    <w:rsid w:val="009710F2"/>
    <w:rsid w:val="00972B09"/>
    <w:rsid w:val="00973A67"/>
    <w:rsid w:val="00974968"/>
    <w:rsid w:val="009A7DA5"/>
    <w:rsid w:val="009B4167"/>
    <w:rsid w:val="009C0C8E"/>
    <w:rsid w:val="009D4253"/>
    <w:rsid w:val="009E002F"/>
    <w:rsid w:val="009E296B"/>
    <w:rsid w:val="009E2BEC"/>
    <w:rsid w:val="009F3B34"/>
    <w:rsid w:val="009F3DB3"/>
    <w:rsid w:val="00A05B08"/>
    <w:rsid w:val="00A120DB"/>
    <w:rsid w:val="00A21687"/>
    <w:rsid w:val="00A26714"/>
    <w:rsid w:val="00A47521"/>
    <w:rsid w:val="00A54A24"/>
    <w:rsid w:val="00A62956"/>
    <w:rsid w:val="00A7385B"/>
    <w:rsid w:val="00A81357"/>
    <w:rsid w:val="00A85CDD"/>
    <w:rsid w:val="00A940AB"/>
    <w:rsid w:val="00AA57E4"/>
    <w:rsid w:val="00AE4AC7"/>
    <w:rsid w:val="00AE4C14"/>
    <w:rsid w:val="00B15699"/>
    <w:rsid w:val="00B22747"/>
    <w:rsid w:val="00B57159"/>
    <w:rsid w:val="00B627F6"/>
    <w:rsid w:val="00B715CC"/>
    <w:rsid w:val="00B75E66"/>
    <w:rsid w:val="00B92094"/>
    <w:rsid w:val="00BF26E4"/>
    <w:rsid w:val="00C03CAF"/>
    <w:rsid w:val="00C20AE9"/>
    <w:rsid w:val="00C2263C"/>
    <w:rsid w:val="00C24203"/>
    <w:rsid w:val="00C3139A"/>
    <w:rsid w:val="00C434FD"/>
    <w:rsid w:val="00C460E0"/>
    <w:rsid w:val="00C853E7"/>
    <w:rsid w:val="00C949E1"/>
    <w:rsid w:val="00CA0852"/>
    <w:rsid w:val="00D010A7"/>
    <w:rsid w:val="00D02B42"/>
    <w:rsid w:val="00D606F3"/>
    <w:rsid w:val="00D75BF5"/>
    <w:rsid w:val="00DA5BEB"/>
    <w:rsid w:val="00DB2F88"/>
    <w:rsid w:val="00DB6E1E"/>
    <w:rsid w:val="00DD24C5"/>
    <w:rsid w:val="00DD725C"/>
    <w:rsid w:val="00E4611F"/>
    <w:rsid w:val="00E60523"/>
    <w:rsid w:val="00E62E8A"/>
    <w:rsid w:val="00E73330"/>
    <w:rsid w:val="00E969CD"/>
    <w:rsid w:val="00EA418B"/>
    <w:rsid w:val="00EA4645"/>
    <w:rsid w:val="00EB6996"/>
    <w:rsid w:val="00EC4A01"/>
    <w:rsid w:val="00ED6546"/>
    <w:rsid w:val="00ED7FA2"/>
    <w:rsid w:val="00EE02F6"/>
    <w:rsid w:val="00EE7A7A"/>
    <w:rsid w:val="00F03039"/>
    <w:rsid w:val="00F07FBC"/>
    <w:rsid w:val="00F11626"/>
    <w:rsid w:val="00F12F9F"/>
    <w:rsid w:val="00F1511C"/>
    <w:rsid w:val="00F23C45"/>
    <w:rsid w:val="00F31020"/>
    <w:rsid w:val="00F44E75"/>
    <w:rsid w:val="00F45466"/>
    <w:rsid w:val="00F51424"/>
    <w:rsid w:val="00F80A2D"/>
    <w:rsid w:val="00F947E1"/>
    <w:rsid w:val="00FA1BB3"/>
    <w:rsid w:val="00FB073D"/>
    <w:rsid w:val="00FB14B5"/>
    <w:rsid w:val="00FB7374"/>
    <w:rsid w:val="00FC4B09"/>
    <w:rsid w:val="00FC4D7C"/>
    <w:rsid w:val="00FC4D94"/>
    <w:rsid w:val="00FC5F6B"/>
    <w:rsid w:val="00FC735E"/>
    <w:rsid w:val="00FD6114"/>
    <w:rsid w:val="00FF1D75"/>
    <w:rsid w:val="00FF223C"/>
    <w:rsid w:val="00FF6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819E"/>
  <w15:chartTrackingRefBased/>
  <w15:docId w15:val="{C7B938CA-677F-489A-B51B-6387D105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16"/>
    <w:pPr>
      <w:spacing w:after="0" w:line="276" w:lineRule="auto"/>
    </w:pPr>
    <w:rPr>
      <w:rFonts w:ascii="Arial" w:eastAsia="Arial" w:hAnsi="Arial" w:cs="Arial"/>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74968"/>
    <w:rPr>
      <w:b/>
      <w:bCs/>
    </w:rPr>
  </w:style>
  <w:style w:type="paragraph" w:styleId="Encabezado">
    <w:name w:val="header"/>
    <w:basedOn w:val="Normal"/>
    <w:link w:val="EncabezadoCar"/>
    <w:uiPriority w:val="99"/>
    <w:unhideWhenUsed/>
    <w:rsid w:val="003073F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73FE"/>
    <w:rPr>
      <w:rFonts w:ascii="Arial" w:eastAsia="Arial" w:hAnsi="Arial" w:cs="Arial"/>
      <w:lang w:val="de-DE" w:eastAsia="de-DE"/>
    </w:rPr>
  </w:style>
  <w:style w:type="paragraph" w:styleId="Piedepgina">
    <w:name w:val="footer"/>
    <w:basedOn w:val="Normal"/>
    <w:link w:val="PiedepginaCar"/>
    <w:uiPriority w:val="99"/>
    <w:unhideWhenUsed/>
    <w:rsid w:val="003073F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73FE"/>
    <w:rPr>
      <w:rFonts w:ascii="Arial" w:eastAsia="Arial" w:hAnsi="Arial" w:cs="Arial"/>
      <w:lang w:val="de-DE" w:eastAsia="de-DE"/>
    </w:rPr>
  </w:style>
  <w:style w:type="paragraph" w:styleId="NormalWeb">
    <w:name w:val="Normal (Web)"/>
    <w:basedOn w:val="Normal"/>
    <w:uiPriority w:val="99"/>
    <w:unhideWhenUsed/>
    <w:rsid w:val="003073F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073FE"/>
    <w:rPr>
      <w:color w:val="0000FF"/>
      <w:u w:val="single"/>
    </w:rPr>
  </w:style>
  <w:style w:type="paragraph" w:styleId="Prrafodelista">
    <w:name w:val="List Paragraph"/>
    <w:basedOn w:val="Normal"/>
    <w:uiPriority w:val="34"/>
    <w:qFormat/>
    <w:rsid w:val="003073FE"/>
    <w:pPr>
      <w:ind w:left="720"/>
      <w:contextualSpacing/>
    </w:pPr>
  </w:style>
  <w:style w:type="paragraph" w:styleId="Textodeglobo">
    <w:name w:val="Balloon Text"/>
    <w:basedOn w:val="Normal"/>
    <w:link w:val="TextodegloboCar"/>
    <w:uiPriority w:val="99"/>
    <w:semiHidden/>
    <w:unhideWhenUsed/>
    <w:rsid w:val="00FC5F6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F6B"/>
    <w:rPr>
      <w:rFonts w:ascii="Segoe UI" w:eastAsia="Arial" w:hAnsi="Segoe UI" w:cs="Segoe UI"/>
      <w:sz w:val="18"/>
      <w:szCs w:val="18"/>
      <w:lang w:val="de-DE" w:eastAsia="de-DE"/>
    </w:rPr>
  </w:style>
  <w:style w:type="character" w:styleId="Refdecomentario">
    <w:name w:val="annotation reference"/>
    <w:basedOn w:val="Fuentedeprrafopredeter"/>
    <w:uiPriority w:val="99"/>
    <w:semiHidden/>
    <w:unhideWhenUsed/>
    <w:rsid w:val="00EE02F6"/>
    <w:rPr>
      <w:sz w:val="16"/>
      <w:szCs w:val="16"/>
    </w:rPr>
  </w:style>
  <w:style w:type="paragraph" w:styleId="Textocomentario">
    <w:name w:val="annotation text"/>
    <w:basedOn w:val="Normal"/>
    <w:link w:val="TextocomentarioCar"/>
    <w:uiPriority w:val="99"/>
    <w:semiHidden/>
    <w:unhideWhenUsed/>
    <w:rsid w:val="00EE02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02F6"/>
    <w:rPr>
      <w:rFonts w:ascii="Arial" w:eastAsia="Arial" w:hAnsi="Arial" w:cs="Arial"/>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EE02F6"/>
    <w:rPr>
      <w:b/>
      <w:bCs/>
    </w:rPr>
  </w:style>
  <w:style w:type="character" w:customStyle="1" w:styleId="AsuntodelcomentarioCar">
    <w:name w:val="Asunto del comentario Car"/>
    <w:basedOn w:val="TextocomentarioCar"/>
    <w:link w:val="Asuntodelcomentario"/>
    <w:uiPriority w:val="99"/>
    <w:semiHidden/>
    <w:rsid w:val="00EE02F6"/>
    <w:rPr>
      <w:rFonts w:ascii="Arial" w:eastAsia="Arial" w:hAnsi="Arial" w:cs="Arial"/>
      <w:b/>
      <w:bCs/>
      <w:sz w:val="20"/>
      <w:szCs w:val="20"/>
      <w:lang w:val="de-DE" w:eastAsia="de-DE"/>
    </w:rPr>
  </w:style>
  <w:style w:type="paragraph" w:styleId="Textonotaalfinal">
    <w:name w:val="endnote text"/>
    <w:basedOn w:val="Normal"/>
    <w:link w:val="TextonotaalfinalCar"/>
    <w:uiPriority w:val="99"/>
    <w:semiHidden/>
    <w:unhideWhenUsed/>
    <w:rsid w:val="00B715C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B715CC"/>
    <w:rPr>
      <w:rFonts w:ascii="Arial" w:eastAsia="Arial" w:hAnsi="Arial" w:cs="Arial"/>
      <w:sz w:val="20"/>
      <w:szCs w:val="20"/>
      <w:lang w:val="de-DE" w:eastAsia="de-DE"/>
    </w:rPr>
  </w:style>
  <w:style w:type="character" w:styleId="Refdenotaalfinal">
    <w:name w:val="endnote reference"/>
    <w:basedOn w:val="Fuentedeprrafopredeter"/>
    <w:uiPriority w:val="99"/>
    <w:semiHidden/>
    <w:unhideWhenUsed/>
    <w:rsid w:val="00B715CC"/>
    <w:rPr>
      <w:vertAlign w:val="superscript"/>
    </w:rPr>
  </w:style>
  <w:style w:type="character" w:customStyle="1" w:styleId="Mencinsinresolver1">
    <w:name w:val="Mención sin resolver1"/>
    <w:basedOn w:val="Fuentedeprrafopredeter"/>
    <w:uiPriority w:val="99"/>
    <w:semiHidden/>
    <w:unhideWhenUsed/>
    <w:rsid w:val="006E3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2249">
      <w:bodyDiv w:val="1"/>
      <w:marLeft w:val="0"/>
      <w:marRight w:val="0"/>
      <w:marTop w:val="0"/>
      <w:marBottom w:val="0"/>
      <w:divBdr>
        <w:top w:val="none" w:sz="0" w:space="0" w:color="auto"/>
        <w:left w:val="none" w:sz="0" w:space="0" w:color="auto"/>
        <w:bottom w:val="none" w:sz="0" w:space="0" w:color="auto"/>
        <w:right w:val="none" w:sz="0" w:space="0" w:color="auto"/>
      </w:divBdr>
    </w:div>
    <w:div w:id="281499085">
      <w:bodyDiv w:val="1"/>
      <w:marLeft w:val="0"/>
      <w:marRight w:val="0"/>
      <w:marTop w:val="0"/>
      <w:marBottom w:val="0"/>
      <w:divBdr>
        <w:top w:val="none" w:sz="0" w:space="0" w:color="auto"/>
        <w:left w:val="none" w:sz="0" w:space="0" w:color="auto"/>
        <w:bottom w:val="none" w:sz="0" w:space="0" w:color="auto"/>
        <w:right w:val="none" w:sz="0" w:space="0" w:color="auto"/>
      </w:divBdr>
    </w:div>
    <w:div w:id="292250779">
      <w:bodyDiv w:val="1"/>
      <w:marLeft w:val="0"/>
      <w:marRight w:val="0"/>
      <w:marTop w:val="0"/>
      <w:marBottom w:val="0"/>
      <w:divBdr>
        <w:top w:val="none" w:sz="0" w:space="0" w:color="auto"/>
        <w:left w:val="none" w:sz="0" w:space="0" w:color="auto"/>
        <w:bottom w:val="none" w:sz="0" w:space="0" w:color="auto"/>
        <w:right w:val="none" w:sz="0" w:space="0" w:color="auto"/>
      </w:divBdr>
    </w:div>
    <w:div w:id="1074006585">
      <w:bodyDiv w:val="1"/>
      <w:marLeft w:val="0"/>
      <w:marRight w:val="0"/>
      <w:marTop w:val="0"/>
      <w:marBottom w:val="0"/>
      <w:divBdr>
        <w:top w:val="none" w:sz="0" w:space="0" w:color="auto"/>
        <w:left w:val="none" w:sz="0" w:space="0" w:color="auto"/>
        <w:bottom w:val="none" w:sz="0" w:space="0" w:color="auto"/>
        <w:right w:val="none" w:sz="0" w:space="0" w:color="auto"/>
      </w:divBdr>
    </w:div>
    <w:div w:id="1336113257">
      <w:bodyDiv w:val="1"/>
      <w:marLeft w:val="0"/>
      <w:marRight w:val="0"/>
      <w:marTop w:val="0"/>
      <w:marBottom w:val="0"/>
      <w:divBdr>
        <w:top w:val="none" w:sz="0" w:space="0" w:color="auto"/>
        <w:left w:val="none" w:sz="0" w:space="0" w:color="auto"/>
        <w:bottom w:val="none" w:sz="0" w:space="0" w:color="auto"/>
        <w:right w:val="none" w:sz="0" w:space="0" w:color="auto"/>
      </w:divBdr>
    </w:div>
    <w:div w:id="18436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ent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dc.com/getdoc.jsp?containerId=prUS474823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CCDA522B95543802A69AB4DDA92D0" ma:contentTypeVersion="13" ma:contentTypeDescription="Create a new document." ma:contentTypeScope="" ma:versionID="c0e023bb9dbcc87891071e4886c50e22">
  <xsd:schema xmlns:xsd="http://www.w3.org/2001/XMLSchema" xmlns:xs="http://www.w3.org/2001/XMLSchema" xmlns:p="http://schemas.microsoft.com/office/2006/metadata/properties" xmlns:ns3="6ce10d97-38ab-4ae1-a8e8-d859670646ab" xmlns:ns4="740d52a0-1b0f-46b8-a657-4ee558c32568" targetNamespace="http://schemas.microsoft.com/office/2006/metadata/properties" ma:root="true" ma:fieldsID="7e5da056bdc3b289d77061e52b4331f0" ns3:_="" ns4:_="">
    <xsd:import namespace="6ce10d97-38ab-4ae1-a8e8-d859670646ab"/>
    <xsd:import namespace="740d52a0-1b0f-46b8-a657-4ee558c325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10d97-38ab-4ae1-a8e8-d85967064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d52a0-1b0f-46b8-a657-4ee558c32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E4744-9EDC-4AE0-A294-B13FF1D9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10d97-38ab-4ae1-a8e8-d859670646ab"/>
    <ds:schemaRef ds:uri="740d52a0-1b0f-46b8-a657-4ee558c32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D56CB-16EC-4C97-A988-E186BEE093F0}">
  <ds:schemaRefs>
    <ds:schemaRef ds:uri="http://schemas.microsoft.com/sharepoint/v3/contenttype/forms"/>
  </ds:schemaRefs>
</ds:datastoreItem>
</file>

<file path=customXml/itemProps3.xml><?xml version="1.0" encoding="utf-8"?>
<ds:datastoreItem xmlns:ds="http://schemas.openxmlformats.org/officeDocument/2006/customXml" ds:itemID="{569F9C70-A90D-472C-8808-0C28F139FB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3680C4-B235-4F94-A3C5-0F782D8F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4733</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Interpublic</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Aguado, Jorge (MAD-WSW)</dc:creator>
  <cp:keywords/>
  <dc:description/>
  <cp:lastModifiedBy>Marketing Mexico</cp:lastModifiedBy>
  <cp:revision>2</cp:revision>
  <cp:lastPrinted>2020-11-24T13:43:00Z</cp:lastPrinted>
  <dcterms:created xsi:type="dcterms:W3CDTF">2021-06-26T01:24:00Z</dcterms:created>
  <dcterms:modified xsi:type="dcterms:W3CDTF">2021-06-26T01:24:00Z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0x0101001EBCCDA522B95543802A69AB4DDA92D0</vt:lpwstr>
  </property>
</Properties>
</file>